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F492" w14:textId="261FE798" w:rsidR="00684795" w:rsidRDefault="00684795" w:rsidP="001A570E">
      <w:pPr>
        <w:spacing w:before="0" w:after="0" w:line="240" w:lineRule="auto"/>
        <w:rPr>
          <w:b/>
          <w:bCs/>
        </w:rPr>
      </w:pPr>
      <w:r>
        <w:rPr>
          <w:b/>
          <w:bCs/>
        </w:rPr>
        <w:t>APPENDIX A. CLIMATE ACTION PARTNER GRANT PROGRAM: PROGRAM OVERVIEW</w:t>
      </w:r>
    </w:p>
    <w:p w14:paraId="5596CEF0" w14:textId="77777777" w:rsidR="00684795" w:rsidRDefault="00684795" w:rsidP="001A570E">
      <w:pPr>
        <w:spacing w:before="0" w:after="0" w:line="240" w:lineRule="auto"/>
        <w:rPr>
          <w:b/>
          <w:bCs/>
        </w:rPr>
      </w:pPr>
    </w:p>
    <w:p w14:paraId="5EF1A3EF" w14:textId="3448B68C" w:rsidR="001A570E" w:rsidRPr="00D66FFC" w:rsidRDefault="001A570E" w:rsidP="001A570E">
      <w:pPr>
        <w:spacing w:before="0" w:after="0" w:line="240" w:lineRule="auto"/>
        <w:rPr>
          <w:b/>
          <w:bCs/>
        </w:rPr>
      </w:pPr>
      <w:r w:rsidRPr="00D66FFC">
        <w:rPr>
          <w:b/>
          <w:bCs/>
        </w:rPr>
        <w:t>BACKGROUND</w:t>
      </w:r>
    </w:p>
    <w:p w14:paraId="772AE721" w14:textId="5FF0E429" w:rsidR="001A570E" w:rsidRDefault="001A570E" w:rsidP="001A570E">
      <w:pPr>
        <w:spacing w:before="0" w:after="0" w:line="240" w:lineRule="auto"/>
      </w:pPr>
      <w:r w:rsidRPr="00D66FFC">
        <w:t>Th</w:t>
      </w:r>
      <w:r w:rsidR="002C6F00">
        <w:t xml:space="preserve">e following information </w:t>
      </w:r>
      <w:r w:rsidRPr="00D66FFC">
        <w:t>describes the C</w:t>
      </w:r>
      <w:r w:rsidR="00232607">
        <w:t xml:space="preserve">limate Action </w:t>
      </w:r>
      <w:r w:rsidRPr="00D66FFC">
        <w:t>Partner Grant Program (</w:t>
      </w:r>
      <w:r w:rsidR="003A657D">
        <w:t>“</w:t>
      </w:r>
      <w:r w:rsidR="00973DBD">
        <w:t>t</w:t>
      </w:r>
      <w:r w:rsidRPr="00D66FFC">
        <w:t>he Program</w:t>
      </w:r>
      <w:r w:rsidR="003A657D">
        <w:t>”</w:t>
      </w:r>
      <w:r w:rsidRPr="00D66FFC">
        <w:t xml:space="preserve">), including purpose, eligibility, grant requirements, application process, and </w:t>
      </w:r>
      <w:r w:rsidR="00157A58">
        <w:t>evaluation criteria</w:t>
      </w:r>
      <w:r w:rsidRPr="00D66FFC">
        <w:t xml:space="preserve">. The Program will </w:t>
      </w:r>
      <w:r w:rsidR="00A77310">
        <w:t xml:space="preserve">provide financial assistance to </w:t>
      </w:r>
      <w:r w:rsidRPr="00D66FFC">
        <w:t xml:space="preserve">organizations in </w:t>
      </w:r>
      <w:r w:rsidR="004649C4">
        <w:t>Bend</w:t>
      </w:r>
      <w:r w:rsidR="00957DE6">
        <w:t xml:space="preserve"> </w:t>
      </w:r>
      <w:r w:rsidR="0089370A">
        <w:t xml:space="preserve">that are </w:t>
      </w:r>
      <w:r w:rsidR="00A77310">
        <w:t>implement</w:t>
      </w:r>
      <w:r w:rsidR="0089370A">
        <w:t>ing</w:t>
      </w:r>
      <w:r w:rsidR="00A77310">
        <w:t xml:space="preserve"> and support</w:t>
      </w:r>
      <w:r w:rsidR="0089370A">
        <w:t xml:space="preserve">ing </w:t>
      </w:r>
      <w:r w:rsidR="005F2B45">
        <w:t>a</w:t>
      </w:r>
      <w:r w:rsidR="0089370A">
        <w:t>ction</w:t>
      </w:r>
      <w:r w:rsidR="009878D6">
        <w:t>s identified in</w:t>
      </w:r>
      <w:r w:rsidR="00A77310">
        <w:t xml:space="preserve"> the</w:t>
      </w:r>
      <w:r w:rsidRPr="00D66FFC">
        <w:t xml:space="preserve"> City’s </w:t>
      </w:r>
      <w:r w:rsidR="004649C4">
        <w:t>Community C</w:t>
      </w:r>
      <w:r w:rsidRPr="00D66FFC">
        <w:t xml:space="preserve">limate </w:t>
      </w:r>
      <w:r w:rsidR="004649C4">
        <w:t>A</w:t>
      </w:r>
      <w:r w:rsidRPr="00D66FFC">
        <w:t xml:space="preserve">ction </w:t>
      </w:r>
      <w:r w:rsidR="004649C4">
        <w:t>P</w:t>
      </w:r>
      <w:r w:rsidRPr="00D66FFC">
        <w:t xml:space="preserve">lan </w:t>
      </w:r>
      <w:r w:rsidR="001076E3">
        <w:t>(CCAP)</w:t>
      </w:r>
      <w:r w:rsidRPr="00D66FFC">
        <w:t>. The Program and eligible projects help to achieve the climate action goals and commitments outlined in Resolution 3044</w:t>
      </w:r>
      <w:r w:rsidR="00910484">
        <w:t xml:space="preserve"> (“A resolution concerning climate action goals and a process and timeline for a budget process and adopting and implementing climate action plan(s) and related staffing”)</w:t>
      </w:r>
      <w:r w:rsidRPr="00D66FFC">
        <w:t xml:space="preserve"> by creating a mechanism through which to facilitate the execution of greenhouse gas reducing</w:t>
      </w:r>
      <w:r w:rsidR="00D65025">
        <w:t xml:space="preserve"> and climate resilience enhancing</w:t>
      </w:r>
      <w:r w:rsidRPr="00D66FFC">
        <w:t xml:space="preserve"> programs led by community partners. </w:t>
      </w:r>
    </w:p>
    <w:p w14:paraId="43F1DEFD" w14:textId="77777777" w:rsidR="001A570E" w:rsidRPr="00D66FFC" w:rsidRDefault="001A570E" w:rsidP="001A570E">
      <w:pPr>
        <w:spacing w:before="0" w:after="0" w:line="240" w:lineRule="auto"/>
      </w:pPr>
    </w:p>
    <w:p w14:paraId="31046F72" w14:textId="77777777" w:rsidR="001A570E" w:rsidRPr="00D66FFC" w:rsidRDefault="001A570E" w:rsidP="001A570E">
      <w:pPr>
        <w:spacing w:before="0" w:after="0" w:line="240" w:lineRule="auto"/>
        <w:rPr>
          <w:b/>
          <w:bCs/>
        </w:rPr>
      </w:pPr>
      <w:r w:rsidRPr="00D66FFC">
        <w:rPr>
          <w:b/>
          <w:bCs/>
        </w:rPr>
        <w:t>Bend Community Climate Action Plan (CCAP)</w:t>
      </w:r>
    </w:p>
    <w:p w14:paraId="12343299" w14:textId="2ECBF5EB" w:rsidR="001A570E" w:rsidRDefault="001A570E" w:rsidP="001A570E">
      <w:pPr>
        <w:spacing w:before="0" w:after="0" w:line="240" w:lineRule="auto"/>
      </w:pPr>
      <w:r w:rsidRPr="00D66FFC">
        <w:t xml:space="preserve">The CCAP was adopted in 2019 and updated in 2025. The CCAP includes strategies and actions that can be taken across the community to collectively reduce Bend’s community greenhouse gas emissions to achieve the City’s community climate action goals of 40% greenhouse gas emission reduction by 2030 and 70% by 2050 (compared to a 2016 baseline). The CCAP was intended to have broad community </w:t>
      </w:r>
      <w:r w:rsidR="00957DE6">
        <w:t>participation</w:t>
      </w:r>
      <w:r w:rsidRPr="00D66FFC">
        <w:t xml:space="preserve">, as the City recognizes it cannot achieve community-wide emission reduction goals on its own. As such, the CCAP includes specific actions that identify community organizations or other local government partners as potential lead implementation partners. The Community Partner Grant Program is a mechanism through which the City can facilitate and provide support to other organizations to help lead actions in the </w:t>
      </w:r>
      <w:r w:rsidR="00DF463B">
        <w:t>CCAP</w:t>
      </w:r>
      <w:r w:rsidRPr="00D66FFC">
        <w:t xml:space="preserve">. The </w:t>
      </w:r>
      <w:r w:rsidR="003A657D">
        <w:t>P</w:t>
      </w:r>
      <w:r w:rsidRPr="00D66FFC">
        <w:t xml:space="preserve">rogram also provides a mechanism to formalize partnerships between the City and community partners that help achieve its climate action goals. </w:t>
      </w:r>
    </w:p>
    <w:p w14:paraId="7785C450" w14:textId="77777777" w:rsidR="001A570E" w:rsidRPr="00D66FFC" w:rsidRDefault="001A570E" w:rsidP="001A570E">
      <w:pPr>
        <w:spacing w:before="0" w:after="0" w:line="240" w:lineRule="auto"/>
      </w:pPr>
    </w:p>
    <w:p w14:paraId="61C91BC2" w14:textId="1AC4B978" w:rsidR="001A570E" w:rsidRPr="00D66FFC" w:rsidRDefault="001A570E" w:rsidP="001A570E">
      <w:pPr>
        <w:spacing w:before="0" w:after="0" w:line="240" w:lineRule="auto"/>
        <w:rPr>
          <w:b/>
          <w:bCs/>
        </w:rPr>
      </w:pPr>
      <w:r w:rsidRPr="00D66FFC">
        <w:rPr>
          <w:b/>
          <w:bCs/>
        </w:rPr>
        <w:t>PURPOSE</w:t>
      </w:r>
    </w:p>
    <w:p w14:paraId="7B3AD47D" w14:textId="155B8E3E" w:rsidR="001A570E" w:rsidRDefault="001A570E" w:rsidP="000E4166">
      <w:pPr>
        <w:spacing w:before="0" w:after="0" w:line="240" w:lineRule="auto"/>
      </w:pPr>
      <w:r w:rsidRPr="00D66FFC">
        <w:t xml:space="preserve">The </w:t>
      </w:r>
      <w:r w:rsidR="00C54276">
        <w:t>Program</w:t>
      </w:r>
      <w:r w:rsidRPr="00D66FFC">
        <w:t xml:space="preserve"> </w:t>
      </w:r>
      <w:r w:rsidR="000E4166" w:rsidRPr="00D66FFC">
        <w:t>provid</w:t>
      </w:r>
      <w:r w:rsidR="000E4166">
        <w:t>e</w:t>
      </w:r>
      <w:r w:rsidR="005901AA">
        <w:t>s</w:t>
      </w:r>
      <w:r w:rsidR="000E4166" w:rsidRPr="00D66FFC">
        <w:t xml:space="preserve"> </w:t>
      </w:r>
      <w:r w:rsidRPr="00D66FFC">
        <w:t xml:space="preserve">financial assistance to </w:t>
      </w:r>
      <w:r w:rsidR="00973DBD">
        <w:t>local</w:t>
      </w:r>
      <w:r w:rsidRPr="00D66FFC">
        <w:t xml:space="preserve"> </w:t>
      </w:r>
      <w:r w:rsidR="000E4166">
        <w:t xml:space="preserve">nonprofit </w:t>
      </w:r>
      <w:r w:rsidRPr="00D66FFC">
        <w:t>organizations</w:t>
      </w:r>
      <w:r w:rsidR="00474A83">
        <w:t xml:space="preserve"> </w:t>
      </w:r>
      <w:r w:rsidR="00602FA1">
        <w:t>and g</w:t>
      </w:r>
      <w:r w:rsidR="00602FA1" w:rsidRPr="00602FA1">
        <w:t xml:space="preserve">overnment </w:t>
      </w:r>
      <w:r w:rsidR="00602FA1">
        <w:t>entities</w:t>
      </w:r>
      <w:r w:rsidR="0019624F" w:rsidRPr="0019624F">
        <w:t>—</w:t>
      </w:r>
      <w:r w:rsidR="0019624F">
        <w:t>including</w:t>
      </w:r>
      <w:r w:rsidR="0038202E">
        <w:t xml:space="preserve"> </w:t>
      </w:r>
      <w:r w:rsidR="00296641">
        <w:t xml:space="preserve">the </w:t>
      </w:r>
      <w:r w:rsidR="00602FA1" w:rsidRPr="00602FA1">
        <w:t xml:space="preserve">City, County, </w:t>
      </w:r>
      <w:r w:rsidR="0019624F">
        <w:t xml:space="preserve">and </w:t>
      </w:r>
      <w:r w:rsidR="00602FA1" w:rsidRPr="00602FA1">
        <w:t>School District</w:t>
      </w:r>
      <w:r w:rsidR="0019624F" w:rsidRPr="0019624F">
        <w:t>—</w:t>
      </w:r>
      <w:r w:rsidR="008F5CC8">
        <w:t>for</w:t>
      </w:r>
      <w:r w:rsidR="000E4166">
        <w:t xml:space="preserve"> projects that </w:t>
      </w:r>
      <w:r w:rsidR="00FB462D">
        <w:t>align with</w:t>
      </w:r>
      <w:r w:rsidR="000E4166">
        <w:t xml:space="preserve"> CCAP goals.</w:t>
      </w:r>
      <w:r w:rsidRPr="00D66FFC">
        <w:t xml:space="preserve"> Eligible projects </w:t>
      </w:r>
      <w:r w:rsidR="00D52773">
        <w:t xml:space="preserve">may include </w:t>
      </w:r>
      <w:r w:rsidR="007F3C69">
        <w:t xml:space="preserve">startup and operational costs </w:t>
      </w:r>
      <w:r w:rsidRPr="00D66FFC">
        <w:t xml:space="preserve">for programs and initiatives </w:t>
      </w:r>
      <w:r w:rsidR="00FB462D">
        <w:t>that reduce emissions and build climate resilience</w:t>
      </w:r>
      <w:r w:rsidR="007F3C69">
        <w:t>, as outlined in the 2025 CCAP Update</w:t>
      </w:r>
      <w:r w:rsidRPr="00D66FFC">
        <w:t xml:space="preserve">. </w:t>
      </w:r>
    </w:p>
    <w:p w14:paraId="2D8B73F8" w14:textId="77777777" w:rsidR="00001333" w:rsidRDefault="00001333" w:rsidP="00FC0053">
      <w:pPr>
        <w:spacing w:before="0" w:after="0" w:line="240" w:lineRule="auto"/>
      </w:pPr>
    </w:p>
    <w:p w14:paraId="34C978A3" w14:textId="673C6015" w:rsidR="001A570E" w:rsidRDefault="001A570E" w:rsidP="001A570E">
      <w:pPr>
        <w:spacing w:before="0" w:after="0" w:line="240" w:lineRule="auto"/>
      </w:pPr>
      <w:r w:rsidRPr="00D66FFC">
        <w:t xml:space="preserve">Funded </w:t>
      </w:r>
      <w:r w:rsidR="00001333">
        <w:t>projects</w:t>
      </w:r>
      <w:r w:rsidR="00001333" w:rsidRPr="00D66FFC">
        <w:t xml:space="preserve"> </w:t>
      </w:r>
      <w:r w:rsidRPr="00D66FFC">
        <w:t xml:space="preserve">must directly support a specific action in the CCAP that has </w:t>
      </w:r>
      <w:r w:rsidR="00344546" w:rsidRPr="004075D8">
        <w:t>“</w:t>
      </w:r>
      <w:r w:rsidRPr="004075D8">
        <w:t>community partner</w:t>
      </w:r>
      <w:r w:rsidR="00344546" w:rsidRPr="004075D8">
        <w:t>”</w:t>
      </w:r>
      <w:r w:rsidRPr="004075D8">
        <w:t xml:space="preserve"> identified as a</w:t>
      </w:r>
      <w:r w:rsidR="00344546" w:rsidRPr="004075D8">
        <w:t>n</w:t>
      </w:r>
      <w:r w:rsidRPr="004075D8">
        <w:t xml:space="preserve"> implementation partner</w:t>
      </w:r>
      <w:r w:rsidRPr="00D66FFC">
        <w:t>. Eligible program areas include the following CCAP actions:</w:t>
      </w:r>
    </w:p>
    <w:p w14:paraId="3025D76A" w14:textId="77777777" w:rsidR="001A570E" w:rsidRDefault="001A570E" w:rsidP="001A570E">
      <w:pPr>
        <w:spacing w:before="0" w:after="0" w:line="240" w:lineRule="auto"/>
      </w:pPr>
    </w:p>
    <w:p w14:paraId="36C5BAF3" w14:textId="77777777" w:rsidR="001A570E" w:rsidRPr="00AD6723" w:rsidRDefault="001A570E" w:rsidP="001A570E">
      <w:pPr>
        <w:spacing w:before="0" w:after="0" w:line="240" w:lineRule="auto"/>
        <w:rPr>
          <w:i/>
          <w:iCs/>
          <w:u w:val="single"/>
        </w:rPr>
      </w:pPr>
      <w:r w:rsidRPr="00AD6723">
        <w:rPr>
          <w:i/>
          <w:iCs/>
          <w:u w:val="single"/>
        </w:rPr>
        <w:t>Energy Supply</w:t>
      </w:r>
    </w:p>
    <w:p w14:paraId="5AA1D404" w14:textId="77777777" w:rsidR="001A570E" w:rsidRDefault="001A570E" w:rsidP="001A570E">
      <w:pPr>
        <w:numPr>
          <w:ilvl w:val="0"/>
          <w:numId w:val="2"/>
        </w:numPr>
        <w:spacing w:before="0" w:after="0" w:line="240" w:lineRule="auto"/>
      </w:pPr>
      <w:r>
        <w:t>(ES3A) Increase community education about renewable energy and available incentives</w:t>
      </w:r>
    </w:p>
    <w:p w14:paraId="0D4F9232" w14:textId="77777777" w:rsidR="001A570E" w:rsidRDefault="001A570E" w:rsidP="001A570E">
      <w:pPr>
        <w:numPr>
          <w:ilvl w:val="0"/>
          <w:numId w:val="2"/>
        </w:numPr>
        <w:spacing w:before="0" w:after="0" w:line="240" w:lineRule="auto"/>
      </w:pPr>
      <w:r>
        <w:lastRenderedPageBreak/>
        <w:t>(ES3B) Develop and deliver educational programs targeted at builders, developers and contractors focused on renewable energy, energy storage, and available incentives</w:t>
      </w:r>
    </w:p>
    <w:p w14:paraId="40A83B7D" w14:textId="77777777" w:rsidR="001A570E" w:rsidRDefault="001A570E" w:rsidP="001A570E">
      <w:pPr>
        <w:numPr>
          <w:ilvl w:val="0"/>
          <w:numId w:val="2"/>
        </w:numPr>
        <w:spacing w:before="0" w:after="0" w:line="240" w:lineRule="auto"/>
      </w:pPr>
      <w:r>
        <w:t>(ES3C) Support and expand local workforce development programs in renewable energy trades</w:t>
      </w:r>
    </w:p>
    <w:p w14:paraId="10FF1483" w14:textId="77777777" w:rsidR="001A570E" w:rsidRDefault="001A570E" w:rsidP="001A570E">
      <w:pPr>
        <w:numPr>
          <w:ilvl w:val="0"/>
          <w:numId w:val="2"/>
        </w:numPr>
        <w:spacing w:before="0" w:after="0" w:line="240" w:lineRule="auto"/>
      </w:pPr>
      <w:r>
        <w:t>(ES3D) Develop programs that encourage residents and businesses to pursue renewable energy and energy storage projects</w:t>
      </w:r>
    </w:p>
    <w:p w14:paraId="24C2A0DC" w14:textId="77777777" w:rsidR="001A570E" w:rsidRDefault="001A570E" w:rsidP="001A570E">
      <w:pPr>
        <w:numPr>
          <w:ilvl w:val="0"/>
          <w:numId w:val="2"/>
        </w:numPr>
        <w:spacing w:before="0" w:after="0" w:line="240" w:lineRule="auto"/>
      </w:pPr>
      <w:r>
        <w:t>(ES4B) Support the development of local community solar projects that residents can subscribe to for access to offsite renewable energy</w:t>
      </w:r>
    </w:p>
    <w:p w14:paraId="59A1E566" w14:textId="77777777" w:rsidR="001A570E" w:rsidRPr="00AD6723" w:rsidRDefault="001A570E" w:rsidP="001A570E">
      <w:pPr>
        <w:spacing w:before="0" w:after="0" w:line="240" w:lineRule="auto"/>
        <w:rPr>
          <w:i/>
          <w:iCs/>
          <w:u w:val="single"/>
        </w:rPr>
      </w:pPr>
      <w:r w:rsidRPr="00AD6723">
        <w:rPr>
          <w:i/>
          <w:iCs/>
          <w:u w:val="single"/>
        </w:rPr>
        <w:t>Energy in Buildings</w:t>
      </w:r>
    </w:p>
    <w:p w14:paraId="32EA4CDA" w14:textId="77777777" w:rsidR="001A570E" w:rsidRDefault="001A570E" w:rsidP="001A570E">
      <w:pPr>
        <w:pStyle w:val="ListParagraph"/>
        <w:numPr>
          <w:ilvl w:val="0"/>
          <w:numId w:val="6"/>
        </w:numPr>
        <w:spacing w:before="0" w:after="0" w:line="240" w:lineRule="auto"/>
      </w:pPr>
      <w:r>
        <w:t xml:space="preserve">(EB2A) Increase community education on energy efficiency topics and available incentives </w:t>
      </w:r>
    </w:p>
    <w:p w14:paraId="61931605" w14:textId="77777777" w:rsidR="001A570E" w:rsidRDefault="001A570E" w:rsidP="001A570E">
      <w:pPr>
        <w:pStyle w:val="ListParagraph"/>
        <w:numPr>
          <w:ilvl w:val="0"/>
          <w:numId w:val="6"/>
        </w:numPr>
        <w:spacing w:before="0" w:after="0" w:line="240" w:lineRule="auto"/>
      </w:pPr>
      <w:r>
        <w:t>(EB2B) Develop and deliver targeted outreach and education to builders, developers, and contractors on high performance building topics and incentives</w:t>
      </w:r>
    </w:p>
    <w:p w14:paraId="62C09AF3" w14:textId="77777777" w:rsidR="001A570E" w:rsidRDefault="001A570E" w:rsidP="001A570E">
      <w:pPr>
        <w:pStyle w:val="ListParagraph"/>
        <w:numPr>
          <w:ilvl w:val="0"/>
          <w:numId w:val="6"/>
        </w:numPr>
        <w:spacing w:before="0" w:after="0" w:line="240" w:lineRule="auto"/>
      </w:pPr>
      <w:r>
        <w:t>(EB2C) Support and expand local workforce development programs in energy trades (i.e. renewable energy, electricity generation and distribution, energy efficiency, HVAC systems, etc.)</w:t>
      </w:r>
    </w:p>
    <w:p w14:paraId="12055404" w14:textId="77777777" w:rsidR="001A570E" w:rsidRDefault="001A570E" w:rsidP="001A570E">
      <w:pPr>
        <w:pStyle w:val="ListParagraph"/>
        <w:numPr>
          <w:ilvl w:val="0"/>
          <w:numId w:val="6"/>
        </w:numPr>
        <w:spacing w:before="0" w:after="0" w:line="240" w:lineRule="auto"/>
      </w:pPr>
      <w:r>
        <w:t>(EB2D) Develop programs that encourage residents and businesses to pursue energy efficiency, electrification, and other emissions reductions upgrades</w:t>
      </w:r>
    </w:p>
    <w:p w14:paraId="7174DAF7" w14:textId="77777777" w:rsidR="001A570E" w:rsidRDefault="001A570E" w:rsidP="001A570E">
      <w:pPr>
        <w:pStyle w:val="ListParagraph"/>
        <w:numPr>
          <w:ilvl w:val="0"/>
          <w:numId w:val="6"/>
        </w:numPr>
        <w:spacing w:before="0" w:after="0" w:line="240" w:lineRule="auto"/>
      </w:pPr>
      <w:r>
        <w:t>(EB2F) Promote energy efficiency and load management through smart controls and demand response participation</w:t>
      </w:r>
    </w:p>
    <w:p w14:paraId="2B013ACE" w14:textId="77777777" w:rsidR="001A570E" w:rsidRDefault="001A570E" w:rsidP="001A570E">
      <w:pPr>
        <w:pStyle w:val="ListParagraph"/>
        <w:numPr>
          <w:ilvl w:val="0"/>
          <w:numId w:val="6"/>
        </w:numPr>
        <w:spacing w:before="0" w:after="0" w:line="240" w:lineRule="auto"/>
      </w:pPr>
      <w:r>
        <w:t>(EB3B) Support and expand low cost energy audit programs</w:t>
      </w:r>
    </w:p>
    <w:p w14:paraId="6939BB16" w14:textId="77777777" w:rsidR="001A570E" w:rsidRPr="00AD6723" w:rsidRDefault="001A570E" w:rsidP="001A570E">
      <w:pPr>
        <w:spacing w:before="0" w:after="0" w:line="240" w:lineRule="auto"/>
        <w:rPr>
          <w:i/>
          <w:iCs/>
          <w:u w:val="single"/>
        </w:rPr>
      </w:pPr>
      <w:r w:rsidRPr="00AD6723">
        <w:rPr>
          <w:i/>
          <w:iCs/>
          <w:u w:val="single"/>
        </w:rPr>
        <w:t>Transportation</w:t>
      </w:r>
    </w:p>
    <w:p w14:paraId="66CB3B6B" w14:textId="77777777" w:rsidR="001A570E" w:rsidRDefault="001A570E" w:rsidP="001A570E">
      <w:pPr>
        <w:pStyle w:val="ListParagraph"/>
        <w:numPr>
          <w:ilvl w:val="0"/>
          <w:numId w:val="7"/>
        </w:numPr>
        <w:spacing w:before="0" w:after="0" w:line="240" w:lineRule="auto"/>
      </w:pPr>
      <w:r>
        <w:t>(T1A) Expand access to community-wide public EV charging</w:t>
      </w:r>
    </w:p>
    <w:p w14:paraId="1DB35E73" w14:textId="77777777" w:rsidR="001A570E" w:rsidRDefault="001A570E" w:rsidP="001A570E">
      <w:pPr>
        <w:pStyle w:val="ListParagraph"/>
        <w:numPr>
          <w:ilvl w:val="0"/>
          <w:numId w:val="7"/>
        </w:numPr>
        <w:spacing w:before="0" w:after="0" w:line="240" w:lineRule="auto"/>
      </w:pPr>
      <w:r>
        <w:t>(T1B) Expand access to multifamily EV charging</w:t>
      </w:r>
    </w:p>
    <w:p w14:paraId="053B2ECF" w14:textId="77777777" w:rsidR="001A570E" w:rsidRDefault="001A570E" w:rsidP="001A570E">
      <w:pPr>
        <w:pStyle w:val="ListParagraph"/>
        <w:numPr>
          <w:ilvl w:val="0"/>
          <w:numId w:val="7"/>
        </w:numPr>
        <w:spacing w:before="0" w:after="0" w:line="240" w:lineRule="auto"/>
      </w:pPr>
      <w:r>
        <w:t>(T1C) Expand workplace EV charging</w:t>
      </w:r>
    </w:p>
    <w:p w14:paraId="4A7F642F" w14:textId="77777777" w:rsidR="001A570E" w:rsidRDefault="001A570E" w:rsidP="001A570E">
      <w:pPr>
        <w:pStyle w:val="ListParagraph"/>
        <w:numPr>
          <w:ilvl w:val="0"/>
          <w:numId w:val="7"/>
        </w:numPr>
        <w:spacing w:before="0" w:after="0" w:line="240" w:lineRule="auto"/>
      </w:pPr>
      <w:r>
        <w:t>(T1D) Conduct outreach and education to promote EV adoption</w:t>
      </w:r>
    </w:p>
    <w:p w14:paraId="143346A1" w14:textId="77777777" w:rsidR="001A570E" w:rsidRDefault="001A570E" w:rsidP="001A570E">
      <w:pPr>
        <w:pStyle w:val="ListParagraph"/>
        <w:numPr>
          <w:ilvl w:val="0"/>
          <w:numId w:val="7"/>
        </w:numPr>
        <w:spacing w:before="0" w:after="0" w:line="240" w:lineRule="auto"/>
      </w:pPr>
      <w:r>
        <w:t>(T4A) Encourage carpooling to City and community events</w:t>
      </w:r>
    </w:p>
    <w:p w14:paraId="0E294304" w14:textId="77777777" w:rsidR="001A570E" w:rsidRDefault="001A570E" w:rsidP="001A570E">
      <w:pPr>
        <w:pStyle w:val="ListParagraph"/>
        <w:numPr>
          <w:ilvl w:val="0"/>
          <w:numId w:val="7"/>
        </w:numPr>
        <w:spacing w:before="0" w:after="0" w:line="240" w:lineRule="auto"/>
      </w:pPr>
      <w:r>
        <w:t>(T4B) Partner with large employers to promote carpooling and vanpooling for daily commutes</w:t>
      </w:r>
    </w:p>
    <w:p w14:paraId="5FFCB097" w14:textId="77777777" w:rsidR="001A570E" w:rsidRPr="00962151" w:rsidRDefault="001A570E" w:rsidP="001A570E">
      <w:pPr>
        <w:spacing w:before="0" w:after="0" w:line="240" w:lineRule="auto"/>
        <w:rPr>
          <w:i/>
          <w:iCs/>
          <w:u w:val="single"/>
        </w:rPr>
      </w:pPr>
      <w:r w:rsidRPr="00962151">
        <w:rPr>
          <w:i/>
          <w:iCs/>
          <w:u w:val="single"/>
        </w:rPr>
        <w:t>Materials &amp; Waste</w:t>
      </w:r>
    </w:p>
    <w:p w14:paraId="7C0F7D46" w14:textId="77777777" w:rsidR="001A570E" w:rsidRDefault="001A570E" w:rsidP="001A570E">
      <w:pPr>
        <w:pStyle w:val="ListParagraph"/>
        <w:numPr>
          <w:ilvl w:val="0"/>
          <w:numId w:val="8"/>
        </w:numPr>
        <w:spacing w:before="0" w:after="0" w:line="240" w:lineRule="auto"/>
      </w:pPr>
      <w:r>
        <w:t>(MW1B) Improve multifamily recycling by expanding and improving outreach and education at multifamily buildings</w:t>
      </w:r>
    </w:p>
    <w:p w14:paraId="7945E043" w14:textId="77777777" w:rsidR="001A570E" w:rsidRDefault="001A570E" w:rsidP="001A570E">
      <w:pPr>
        <w:pStyle w:val="ListParagraph"/>
        <w:numPr>
          <w:ilvl w:val="0"/>
          <w:numId w:val="8"/>
        </w:numPr>
        <w:spacing w:before="0" w:after="0" w:line="240" w:lineRule="auto"/>
      </w:pPr>
      <w:r>
        <w:t xml:space="preserve">(MW1C) Create a recycling and waste reduction program aimed at tourists, including hotels and resort communities </w:t>
      </w:r>
    </w:p>
    <w:p w14:paraId="08B951AB" w14:textId="77777777" w:rsidR="001A570E" w:rsidRDefault="001A570E" w:rsidP="001A570E">
      <w:pPr>
        <w:pStyle w:val="ListParagraph"/>
        <w:numPr>
          <w:ilvl w:val="0"/>
          <w:numId w:val="8"/>
        </w:numPr>
        <w:spacing w:before="0" w:after="0" w:line="240" w:lineRule="auto"/>
      </w:pPr>
      <w:r>
        <w:t>(MW1D) Work with Deschutes County and waste haulers to reduce recycling contamination through targeted outreach and education</w:t>
      </w:r>
    </w:p>
    <w:p w14:paraId="487ED32E" w14:textId="77777777" w:rsidR="001A570E" w:rsidRDefault="001A570E" w:rsidP="001A570E">
      <w:pPr>
        <w:pStyle w:val="ListParagraph"/>
        <w:numPr>
          <w:ilvl w:val="0"/>
          <w:numId w:val="8"/>
        </w:numPr>
        <w:spacing w:before="0" w:after="0" w:line="240" w:lineRule="auto"/>
      </w:pPr>
      <w:r>
        <w:t>(MW1E) Develop new programs to recover materials that make up the largest portion of the waste stream</w:t>
      </w:r>
    </w:p>
    <w:p w14:paraId="44785F2E" w14:textId="77777777" w:rsidR="001A570E" w:rsidRDefault="001A570E" w:rsidP="001A570E">
      <w:pPr>
        <w:pStyle w:val="ListParagraph"/>
        <w:numPr>
          <w:ilvl w:val="0"/>
          <w:numId w:val="8"/>
        </w:numPr>
        <w:spacing w:before="0" w:after="0" w:line="240" w:lineRule="auto"/>
      </w:pPr>
      <w:r>
        <w:t>(MW3A) Increase participation in and access to food waste collection services, particularly in multifamily and commercial sectors</w:t>
      </w:r>
    </w:p>
    <w:p w14:paraId="58E84EE3" w14:textId="77777777" w:rsidR="001A570E" w:rsidRDefault="001A570E" w:rsidP="001A570E">
      <w:pPr>
        <w:pStyle w:val="ListParagraph"/>
        <w:numPr>
          <w:ilvl w:val="0"/>
          <w:numId w:val="8"/>
        </w:numPr>
        <w:spacing w:before="0" w:after="0" w:line="240" w:lineRule="auto"/>
      </w:pPr>
      <w:r>
        <w:t>(MW3B) Develop and deliver educational programs that teach and encourage residents to compost their food waste</w:t>
      </w:r>
    </w:p>
    <w:p w14:paraId="632738DF" w14:textId="77777777" w:rsidR="001A570E" w:rsidRDefault="001A570E" w:rsidP="001A570E">
      <w:pPr>
        <w:pStyle w:val="ListParagraph"/>
        <w:numPr>
          <w:ilvl w:val="0"/>
          <w:numId w:val="8"/>
        </w:numPr>
        <w:spacing w:before="0" w:after="0" w:line="240" w:lineRule="auto"/>
      </w:pPr>
      <w:r>
        <w:lastRenderedPageBreak/>
        <w:t>(MW4A) Expand and develop new programs that increase the recovery of construction and demolition (C&amp;D) materials</w:t>
      </w:r>
    </w:p>
    <w:p w14:paraId="72BDBE1E" w14:textId="77777777" w:rsidR="001A570E" w:rsidRDefault="001A570E" w:rsidP="001A570E">
      <w:pPr>
        <w:pStyle w:val="ListParagraph"/>
        <w:numPr>
          <w:ilvl w:val="0"/>
          <w:numId w:val="8"/>
        </w:numPr>
        <w:spacing w:before="0" w:after="0" w:line="240" w:lineRule="auto"/>
      </w:pPr>
      <w:r>
        <w:t>(MW4B) Encourage reuse of construction and demolition (C&amp;D) materials</w:t>
      </w:r>
    </w:p>
    <w:p w14:paraId="74336F72" w14:textId="77777777" w:rsidR="001A570E" w:rsidRDefault="001A570E" w:rsidP="001A570E">
      <w:pPr>
        <w:pStyle w:val="ListParagraph"/>
        <w:numPr>
          <w:ilvl w:val="0"/>
          <w:numId w:val="8"/>
        </w:numPr>
        <w:spacing w:before="0" w:after="0" w:line="240" w:lineRule="auto"/>
      </w:pPr>
      <w:r>
        <w:t>(MW5A) Conduct outreach campaigns to promote waste prevention and reducing consumption by connecting residents and businesses to local resources, like repair cafes</w:t>
      </w:r>
    </w:p>
    <w:p w14:paraId="74474DA4" w14:textId="77777777" w:rsidR="001A570E" w:rsidRDefault="001A570E" w:rsidP="001A570E">
      <w:pPr>
        <w:pStyle w:val="ListParagraph"/>
        <w:numPr>
          <w:ilvl w:val="0"/>
          <w:numId w:val="8"/>
        </w:numPr>
        <w:spacing w:before="0" w:after="0" w:line="240" w:lineRule="auto"/>
      </w:pPr>
      <w:r>
        <w:t>(MW5B) Implement industry-specific training programs to prevent waste, targeting sectors like building construction and food and restaurants</w:t>
      </w:r>
    </w:p>
    <w:p w14:paraId="6E7A75B3" w14:textId="77777777" w:rsidR="001A570E" w:rsidRDefault="001A570E" w:rsidP="001A570E">
      <w:pPr>
        <w:pStyle w:val="ListParagraph"/>
        <w:numPr>
          <w:ilvl w:val="0"/>
          <w:numId w:val="8"/>
        </w:numPr>
        <w:spacing w:before="0" w:after="0" w:line="240" w:lineRule="auto"/>
      </w:pPr>
      <w:r>
        <w:t>(MW5C) Promote and support the use of reuseable serviceware in food services</w:t>
      </w:r>
    </w:p>
    <w:p w14:paraId="6B024E3C" w14:textId="77777777" w:rsidR="001A570E" w:rsidRDefault="001A570E" w:rsidP="001A570E">
      <w:pPr>
        <w:pStyle w:val="ListParagraph"/>
        <w:numPr>
          <w:ilvl w:val="0"/>
          <w:numId w:val="8"/>
        </w:numPr>
        <w:spacing w:before="0" w:after="0" w:line="240" w:lineRule="auto"/>
      </w:pPr>
      <w:r>
        <w:t>(MW5D) Promote reuse by supporting gearswap events, community garage sales, and neighborhood repair cafes</w:t>
      </w:r>
    </w:p>
    <w:p w14:paraId="52803787" w14:textId="77777777" w:rsidR="001A570E" w:rsidRDefault="001A570E" w:rsidP="001A570E">
      <w:pPr>
        <w:pStyle w:val="ListParagraph"/>
        <w:numPr>
          <w:ilvl w:val="0"/>
          <w:numId w:val="8"/>
        </w:numPr>
        <w:spacing w:before="0" w:after="0" w:line="240" w:lineRule="auto"/>
      </w:pPr>
      <w:r>
        <w:t>(MW5F) Research models of and support the development off centralized materials exchange forums</w:t>
      </w:r>
    </w:p>
    <w:p w14:paraId="1BDF06E5" w14:textId="77777777" w:rsidR="001A570E" w:rsidRDefault="001A570E" w:rsidP="001A570E">
      <w:pPr>
        <w:pStyle w:val="ListParagraph"/>
        <w:numPr>
          <w:ilvl w:val="0"/>
          <w:numId w:val="8"/>
        </w:numPr>
        <w:spacing w:before="0" w:after="0" w:line="240" w:lineRule="auto"/>
      </w:pPr>
      <w:r>
        <w:t>(MW6A) Conduct outreach campaigns that promote food waste prevention</w:t>
      </w:r>
    </w:p>
    <w:p w14:paraId="5618324B" w14:textId="77777777" w:rsidR="001A570E" w:rsidRDefault="001A570E" w:rsidP="001A570E">
      <w:pPr>
        <w:pStyle w:val="ListParagraph"/>
        <w:numPr>
          <w:ilvl w:val="0"/>
          <w:numId w:val="8"/>
        </w:numPr>
        <w:spacing w:before="0" w:after="0" w:line="240" w:lineRule="auto"/>
      </w:pPr>
      <w:r>
        <w:t>(MW7B) Conduct outreach campaigns that promote low-carbon food choices</w:t>
      </w:r>
    </w:p>
    <w:p w14:paraId="335300BA" w14:textId="77777777" w:rsidR="00EE6C8D" w:rsidRDefault="00EE6C8D" w:rsidP="00EE6C8D">
      <w:pPr>
        <w:spacing w:before="0" w:after="0" w:line="240" w:lineRule="auto"/>
      </w:pPr>
    </w:p>
    <w:p w14:paraId="6290601B" w14:textId="77777777" w:rsidR="00EE6C8D" w:rsidRPr="00EE6C8D" w:rsidRDefault="00EE6C8D" w:rsidP="00EE6C8D">
      <w:pPr>
        <w:spacing w:before="0" w:after="0" w:line="240" w:lineRule="auto"/>
        <w:rPr>
          <w:rStyle w:val="Strong"/>
          <w:b w:val="0"/>
          <w:bCs w:val="0"/>
          <w:i/>
          <w:iCs/>
        </w:rPr>
      </w:pPr>
      <w:r w:rsidRPr="00EE6C8D">
        <w:t xml:space="preserve">Examples of eligible projects: </w:t>
      </w:r>
    </w:p>
    <w:p w14:paraId="57C3CE1D" w14:textId="77777777" w:rsidR="00EE6C8D" w:rsidRPr="00EE6C8D" w:rsidRDefault="00EE6C8D" w:rsidP="00EE6C8D">
      <w:pPr>
        <w:spacing w:before="0" w:after="0" w:line="240" w:lineRule="auto"/>
      </w:pPr>
    </w:p>
    <w:p w14:paraId="0DC7145E" w14:textId="77777777" w:rsidR="00EE6C8D" w:rsidRPr="00EE6C8D" w:rsidRDefault="00EE6C8D" w:rsidP="00EE6C8D">
      <w:pPr>
        <w:pStyle w:val="ListParagraph"/>
        <w:numPr>
          <w:ilvl w:val="0"/>
          <w:numId w:val="14"/>
        </w:numPr>
        <w:spacing w:before="0" w:after="0" w:line="240" w:lineRule="auto"/>
        <w:rPr>
          <w:b/>
          <w:bCs/>
        </w:rPr>
      </w:pPr>
      <w:r w:rsidRPr="00EE6C8D">
        <w:rPr>
          <w:b/>
          <w:bCs/>
        </w:rPr>
        <w:t>Outreach and Education</w:t>
      </w:r>
    </w:p>
    <w:p w14:paraId="23EB2EC2" w14:textId="35B38011" w:rsidR="00EE6C8D" w:rsidRDefault="00EE6C8D" w:rsidP="0038202E">
      <w:pPr>
        <w:spacing w:before="0" w:after="0" w:line="240" w:lineRule="auto"/>
        <w:ind w:left="360"/>
      </w:pPr>
      <w:r w:rsidRPr="00EE6C8D">
        <w:t>Projects that raise awareness of the four CCAP sectors—energy supply, energy in buildings, transportation, and materials</w:t>
      </w:r>
      <w:r w:rsidR="0038202E">
        <w:t xml:space="preserve"> &amp; waste</w:t>
      </w:r>
      <w:r w:rsidRPr="00EE6C8D">
        <w:t xml:space="preserve">. Eligible formats include events, workshops, campaigns, and print and digital media. Priority will be given to programs that are accessible to the entire community. </w:t>
      </w:r>
    </w:p>
    <w:p w14:paraId="39B5CA5D" w14:textId="77777777" w:rsidR="0038202E" w:rsidRPr="00EE6C8D" w:rsidRDefault="0038202E" w:rsidP="0038202E">
      <w:pPr>
        <w:spacing w:before="0" w:after="0" w:line="240" w:lineRule="auto"/>
        <w:ind w:left="360"/>
      </w:pPr>
    </w:p>
    <w:p w14:paraId="106D85EC" w14:textId="77777777" w:rsidR="00EE6C8D" w:rsidRPr="00EE6C8D" w:rsidRDefault="00EE6C8D" w:rsidP="00EE6C8D">
      <w:pPr>
        <w:pStyle w:val="ListParagraph"/>
        <w:numPr>
          <w:ilvl w:val="0"/>
          <w:numId w:val="14"/>
        </w:numPr>
        <w:spacing w:before="0" w:after="0" w:line="240" w:lineRule="auto"/>
        <w:rPr>
          <w:b/>
          <w:bCs/>
        </w:rPr>
      </w:pPr>
      <w:r w:rsidRPr="00EE6C8D">
        <w:rPr>
          <w:b/>
          <w:bCs/>
        </w:rPr>
        <w:t>Workforce Development</w:t>
      </w:r>
    </w:p>
    <w:p w14:paraId="54B7601C" w14:textId="4A6232C9" w:rsidR="00EE6C8D" w:rsidRPr="00EE6C8D" w:rsidRDefault="00EE6C8D" w:rsidP="00EE6C8D">
      <w:pPr>
        <w:spacing w:before="0" w:after="0" w:line="240" w:lineRule="auto"/>
        <w:ind w:left="360"/>
      </w:pPr>
      <w:r w:rsidRPr="00EE6C8D">
        <w:t xml:space="preserve">Programs that equip individuals with skills in green trades such as clean energy, sustainable transportation, and waste reduction. Workforce development </w:t>
      </w:r>
      <w:r w:rsidR="0038202E" w:rsidRPr="00EE6C8D">
        <w:t>strategies help</w:t>
      </w:r>
      <w:r w:rsidRPr="00EE6C8D">
        <w:t xml:space="preserve"> ensure that the Bend community has the skilled workers that it needs to make the transition to a low carbon future. Eligible activities include workshops, </w:t>
      </w:r>
      <w:r w:rsidR="0038202E" w:rsidRPr="00EE6C8D">
        <w:t>classes, technical</w:t>
      </w:r>
      <w:r w:rsidRPr="00EE6C8D">
        <w:t xml:space="preserve"> trainings, development of manuals or curricula or similar activities. </w:t>
      </w:r>
    </w:p>
    <w:p w14:paraId="19EF06EA" w14:textId="77777777" w:rsidR="00EE6C8D" w:rsidRPr="00EE6C8D" w:rsidRDefault="00EE6C8D" w:rsidP="00EE6C8D">
      <w:pPr>
        <w:spacing w:before="0" w:after="0" w:line="240" w:lineRule="auto"/>
        <w:rPr>
          <w:b/>
          <w:bCs/>
        </w:rPr>
      </w:pPr>
    </w:p>
    <w:p w14:paraId="01E8F256" w14:textId="77777777" w:rsidR="00EE6C8D" w:rsidRPr="00EE6C8D" w:rsidRDefault="00EE6C8D" w:rsidP="00EE6C8D">
      <w:pPr>
        <w:pStyle w:val="ListParagraph"/>
        <w:numPr>
          <w:ilvl w:val="0"/>
          <w:numId w:val="14"/>
        </w:numPr>
        <w:spacing w:before="0" w:after="0" w:line="240" w:lineRule="auto"/>
        <w:rPr>
          <w:b/>
          <w:bCs/>
        </w:rPr>
      </w:pPr>
      <w:r w:rsidRPr="00EE6C8D">
        <w:rPr>
          <w:b/>
          <w:bCs/>
        </w:rPr>
        <w:t>General Programs or Technical Assistance Programs</w:t>
      </w:r>
    </w:p>
    <w:p w14:paraId="60A590FA" w14:textId="77777777" w:rsidR="00EE6C8D" w:rsidRPr="00EE6C8D" w:rsidRDefault="00EE6C8D" w:rsidP="00EE6C8D">
      <w:pPr>
        <w:spacing w:before="0" w:after="0" w:line="240" w:lineRule="auto"/>
        <w:ind w:left="360"/>
      </w:pPr>
      <w:r w:rsidRPr="00EE6C8D">
        <w:t>Initiatives that provide direct support to individuals, businesses, or organizations to reduce emissions or enhance climate resilience. This category is intended to be flexible to support the wide range of programs and services that organizations offer to help community members reduce their impacts from energy use, transportation, and/or waste.  Examples include home energy audits, material reuse events, or tool lending libraries.</w:t>
      </w:r>
    </w:p>
    <w:p w14:paraId="4AB7A874" w14:textId="77777777" w:rsidR="00EE6C8D" w:rsidRPr="00EE6C8D" w:rsidRDefault="00EE6C8D" w:rsidP="00EE6C8D">
      <w:pPr>
        <w:spacing w:before="0" w:after="0" w:line="240" w:lineRule="auto"/>
      </w:pPr>
    </w:p>
    <w:p w14:paraId="02C64EA0" w14:textId="77777777" w:rsidR="00EE6C8D" w:rsidRPr="00EE6C8D" w:rsidRDefault="00EE6C8D" w:rsidP="00EE6C8D">
      <w:pPr>
        <w:pStyle w:val="ListParagraph"/>
        <w:numPr>
          <w:ilvl w:val="0"/>
          <w:numId w:val="14"/>
        </w:numPr>
        <w:spacing w:before="0" w:after="0" w:line="240" w:lineRule="auto"/>
        <w:rPr>
          <w:b/>
          <w:bCs/>
        </w:rPr>
      </w:pPr>
      <w:r w:rsidRPr="00EE6C8D">
        <w:rPr>
          <w:b/>
          <w:bCs/>
        </w:rPr>
        <w:t>Program Scoping and Planning</w:t>
      </w:r>
    </w:p>
    <w:p w14:paraId="0CC2F37F" w14:textId="77777777" w:rsidR="00EE6C8D" w:rsidRPr="00EE6C8D" w:rsidRDefault="00EE6C8D" w:rsidP="00EE6C8D">
      <w:pPr>
        <w:spacing w:before="0" w:after="0" w:line="240" w:lineRule="auto"/>
        <w:ind w:left="360"/>
        <w:rPr>
          <w:b/>
          <w:bCs/>
        </w:rPr>
      </w:pPr>
      <w:r w:rsidRPr="00EE6C8D">
        <w:t>Early-stage project development activities such as feasibility studies, planning, and detailed design. These requests are typically for smaller funding amounts.</w:t>
      </w:r>
    </w:p>
    <w:p w14:paraId="2E03F86D" w14:textId="77777777" w:rsidR="00EE6C8D" w:rsidRPr="00EE6C8D" w:rsidRDefault="00EE6C8D" w:rsidP="00EE6C8D">
      <w:pPr>
        <w:spacing w:before="0" w:after="0" w:line="240" w:lineRule="auto"/>
        <w:ind w:left="360"/>
        <w:rPr>
          <w:b/>
          <w:bCs/>
        </w:rPr>
      </w:pPr>
    </w:p>
    <w:p w14:paraId="695E3B49" w14:textId="77777777" w:rsidR="00EE6C8D" w:rsidRPr="00EE6C8D" w:rsidRDefault="00EE6C8D" w:rsidP="00EE6C8D">
      <w:pPr>
        <w:spacing w:before="0" w:after="0" w:line="240" w:lineRule="auto"/>
      </w:pPr>
      <w:r w:rsidRPr="00EE6C8D">
        <w:lastRenderedPageBreak/>
        <w:t xml:space="preserve">Eligible costs include </w:t>
      </w:r>
      <w:r w:rsidRPr="00EE6C8D">
        <w:rPr>
          <w:i/>
          <w:iCs/>
        </w:rPr>
        <w:t xml:space="preserve">but are not limited to </w:t>
      </w:r>
      <w:r w:rsidRPr="00EE6C8D">
        <w:t>the following expenditures related to developing and delivering projects, programs, or other initiatives:</w:t>
      </w:r>
    </w:p>
    <w:p w14:paraId="5F155E56" w14:textId="77777777" w:rsidR="00EE6C8D" w:rsidRPr="00EE6C8D" w:rsidRDefault="00EE6C8D" w:rsidP="00EE6C8D">
      <w:pPr>
        <w:numPr>
          <w:ilvl w:val="0"/>
          <w:numId w:val="4"/>
        </w:numPr>
        <w:spacing w:before="0" w:after="0" w:line="240" w:lineRule="auto"/>
      </w:pPr>
      <w:r w:rsidRPr="00EE6C8D">
        <w:t>Staffing and technical experts</w:t>
      </w:r>
    </w:p>
    <w:p w14:paraId="51D0E04F" w14:textId="77777777" w:rsidR="00EE6C8D" w:rsidRPr="00EE6C8D" w:rsidRDefault="00EE6C8D" w:rsidP="00EE6C8D">
      <w:pPr>
        <w:numPr>
          <w:ilvl w:val="0"/>
          <w:numId w:val="4"/>
        </w:numPr>
        <w:spacing w:before="0" w:after="0" w:line="240" w:lineRule="auto"/>
      </w:pPr>
      <w:r w:rsidRPr="00EE6C8D">
        <w:t>Program materials and translation</w:t>
      </w:r>
    </w:p>
    <w:p w14:paraId="553A1316" w14:textId="77777777" w:rsidR="00EE6C8D" w:rsidRPr="00EE6C8D" w:rsidRDefault="00EE6C8D" w:rsidP="00EE6C8D">
      <w:pPr>
        <w:numPr>
          <w:ilvl w:val="0"/>
          <w:numId w:val="4"/>
        </w:numPr>
        <w:spacing w:before="0" w:after="0" w:line="240" w:lineRule="auto"/>
      </w:pPr>
      <w:r w:rsidRPr="00EE6C8D">
        <w:t xml:space="preserve">Supplies and capital costs </w:t>
      </w:r>
    </w:p>
    <w:p w14:paraId="2FFB0B69" w14:textId="77777777" w:rsidR="00EE6C8D" w:rsidRPr="00EE6C8D" w:rsidRDefault="00EE6C8D" w:rsidP="00EE6C8D">
      <w:pPr>
        <w:numPr>
          <w:ilvl w:val="0"/>
          <w:numId w:val="4"/>
        </w:numPr>
        <w:spacing w:before="0" w:after="0" w:line="240" w:lineRule="auto"/>
      </w:pPr>
      <w:r w:rsidRPr="00EE6C8D">
        <w:t>Event-related expenses (e.g. room rental, food)</w:t>
      </w:r>
    </w:p>
    <w:p w14:paraId="4CF17B82" w14:textId="77777777" w:rsidR="00EE6C8D" w:rsidRPr="00EE6C8D" w:rsidRDefault="00EE6C8D" w:rsidP="00EE6C8D">
      <w:pPr>
        <w:numPr>
          <w:ilvl w:val="0"/>
          <w:numId w:val="4"/>
        </w:numPr>
        <w:spacing w:before="0" w:after="0" w:line="240" w:lineRule="auto"/>
      </w:pPr>
      <w:r w:rsidRPr="00EE6C8D">
        <w:t>Participant stipends</w:t>
      </w:r>
    </w:p>
    <w:p w14:paraId="671C0530" w14:textId="77777777" w:rsidR="00EE6C8D" w:rsidRPr="00EE6C8D" w:rsidRDefault="00EE6C8D" w:rsidP="00EE6C8D">
      <w:pPr>
        <w:spacing w:before="0" w:after="0" w:line="240" w:lineRule="auto"/>
      </w:pPr>
    </w:p>
    <w:p w14:paraId="485751E9" w14:textId="110E38F2" w:rsidR="00EE6C8D" w:rsidRDefault="00EE6C8D" w:rsidP="00206964">
      <w:pPr>
        <w:spacing w:before="0" w:after="0" w:line="240" w:lineRule="auto"/>
      </w:pPr>
      <w:r w:rsidRPr="00EE6C8D">
        <w:t xml:space="preserve">Additional costs may be eligible and will be considered by the City. </w:t>
      </w:r>
    </w:p>
    <w:p w14:paraId="73425C8B" w14:textId="77777777" w:rsidR="00232607" w:rsidRDefault="00232607" w:rsidP="00232607">
      <w:pPr>
        <w:spacing w:before="0" w:after="0" w:line="240" w:lineRule="auto"/>
      </w:pPr>
    </w:p>
    <w:p w14:paraId="561AB0BD" w14:textId="1A6A8B93" w:rsidR="00232607" w:rsidRDefault="00232607" w:rsidP="00232607">
      <w:pPr>
        <w:spacing w:before="0" w:after="0" w:line="240" w:lineRule="auto"/>
        <w:rPr>
          <w:b/>
          <w:bCs/>
        </w:rPr>
      </w:pPr>
      <w:r w:rsidRPr="00232607">
        <w:rPr>
          <w:b/>
          <w:bCs/>
        </w:rPr>
        <w:t>ELIGIBILITY CRITERIA</w:t>
      </w:r>
    </w:p>
    <w:p w14:paraId="3D295652" w14:textId="281F4FCC" w:rsidR="00232607" w:rsidRDefault="00232607" w:rsidP="00232607">
      <w:pPr>
        <w:spacing w:before="0" w:after="0" w:line="240" w:lineRule="auto"/>
      </w:pPr>
      <w:r>
        <w:t>Applications must mee</w:t>
      </w:r>
      <w:r w:rsidR="00F34258">
        <w:t>t</w:t>
      </w:r>
      <w:r>
        <w:t xml:space="preserve"> the following criteria to be considered eligible for funding:</w:t>
      </w:r>
    </w:p>
    <w:p w14:paraId="58ED102F" w14:textId="0F89E64F" w:rsidR="00D278AA" w:rsidRPr="004075D8" w:rsidRDefault="00D278AA" w:rsidP="000A4243">
      <w:pPr>
        <w:pStyle w:val="ListParagraph"/>
        <w:numPr>
          <w:ilvl w:val="0"/>
          <w:numId w:val="8"/>
        </w:numPr>
        <w:spacing w:before="0" w:after="0" w:line="240" w:lineRule="auto"/>
      </w:pPr>
      <w:r w:rsidRPr="00D278AA">
        <w:t xml:space="preserve">The applicant must be a </w:t>
      </w:r>
      <w:r w:rsidR="00602FA1">
        <w:t>local</w:t>
      </w:r>
      <w:r w:rsidR="00602FA1" w:rsidRPr="00D66FFC">
        <w:t xml:space="preserve"> </w:t>
      </w:r>
      <w:r w:rsidR="00602FA1">
        <w:t xml:space="preserve">nonprofit </w:t>
      </w:r>
      <w:r w:rsidR="00602FA1" w:rsidRPr="00D66FFC">
        <w:t>organization</w:t>
      </w:r>
      <w:r w:rsidR="00602FA1">
        <w:t xml:space="preserve"> or g</w:t>
      </w:r>
      <w:r w:rsidR="00602FA1" w:rsidRPr="00602FA1">
        <w:t xml:space="preserve">overnment </w:t>
      </w:r>
      <w:r w:rsidR="00602FA1">
        <w:t>entity</w:t>
      </w:r>
      <w:r w:rsidR="00602FA1" w:rsidRPr="00602FA1">
        <w:t xml:space="preserve"> (</w:t>
      </w:r>
      <w:r w:rsidR="0038202E">
        <w:t xml:space="preserve">i.e., </w:t>
      </w:r>
      <w:r w:rsidR="00602FA1" w:rsidRPr="00602FA1">
        <w:t>City, County, School District)</w:t>
      </w:r>
      <w:r w:rsidR="00602FA1">
        <w:t xml:space="preserve">. </w:t>
      </w:r>
      <w:r w:rsidRPr="004075D8">
        <w:t>Activities may be subcontracted to third-party entities, including private companies, but this must be clearly stated in the application.</w:t>
      </w:r>
    </w:p>
    <w:p w14:paraId="381AA383" w14:textId="362C6F55" w:rsidR="00D278AA" w:rsidRDefault="00D278AA" w:rsidP="000A4243">
      <w:pPr>
        <w:pStyle w:val="ListParagraph"/>
        <w:numPr>
          <w:ilvl w:val="0"/>
          <w:numId w:val="8"/>
        </w:numPr>
        <w:spacing w:before="0" w:after="0" w:line="240" w:lineRule="auto"/>
      </w:pPr>
      <w:r w:rsidRPr="00D278AA">
        <w:t xml:space="preserve">The proposed program, project, or service must take place within the City of Bend and/or serve Bend </w:t>
      </w:r>
      <w:r w:rsidR="00DF7FF6">
        <w:t>residents</w:t>
      </w:r>
      <w:r w:rsidRPr="00D278AA">
        <w:t>.</w:t>
      </w:r>
    </w:p>
    <w:p w14:paraId="22AF3FEE" w14:textId="4E88EF49" w:rsidR="001A570E" w:rsidRPr="008F6BFD" w:rsidRDefault="00856670" w:rsidP="000A4243">
      <w:pPr>
        <w:pStyle w:val="ListParagraph"/>
        <w:numPr>
          <w:ilvl w:val="0"/>
          <w:numId w:val="8"/>
        </w:numPr>
        <w:spacing w:before="0" w:after="0" w:line="240" w:lineRule="auto"/>
      </w:pPr>
      <w:r w:rsidRPr="00856670">
        <w:t>The project must align with one or more specific actions or strategies outlined in the Community Climate Action Plan (CCAP).</w:t>
      </w:r>
    </w:p>
    <w:p w14:paraId="6B2FF1FF" w14:textId="77777777" w:rsidR="005E4249" w:rsidRDefault="005E4249" w:rsidP="001A570E">
      <w:pPr>
        <w:spacing w:before="0" w:after="0" w:line="240" w:lineRule="auto"/>
        <w:rPr>
          <w:b/>
          <w:bCs/>
        </w:rPr>
      </w:pPr>
    </w:p>
    <w:p w14:paraId="38344476" w14:textId="0FDEA36B" w:rsidR="001A570E" w:rsidRPr="00D66FFC" w:rsidRDefault="001A570E" w:rsidP="001A570E">
      <w:pPr>
        <w:spacing w:before="0" w:after="0" w:line="240" w:lineRule="auto"/>
        <w:rPr>
          <w:b/>
          <w:bCs/>
        </w:rPr>
      </w:pPr>
      <w:r w:rsidRPr="00D66FFC">
        <w:rPr>
          <w:b/>
          <w:bCs/>
        </w:rPr>
        <w:t>APPLICATION PROCESS</w:t>
      </w:r>
    </w:p>
    <w:p w14:paraId="62F67F9C" w14:textId="77777777" w:rsidR="003631C5" w:rsidRPr="003631C5" w:rsidRDefault="003631C5" w:rsidP="003631C5">
      <w:pPr>
        <w:spacing w:before="0" w:after="0" w:line="240" w:lineRule="auto"/>
      </w:pPr>
      <w:r w:rsidRPr="003631C5">
        <w:t>The Program is designed to keep the application process straightforward and flexible, while ensuring sufficient information is collected to verify eligibility and support informed funding decisions.</w:t>
      </w:r>
    </w:p>
    <w:p w14:paraId="758832E7" w14:textId="77777777" w:rsidR="00D4477D" w:rsidRDefault="00D4477D" w:rsidP="001A570E">
      <w:pPr>
        <w:spacing w:before="0" w:after="0" w:line="240" w:lineRule="auto"/>
      </w:pPr>
    </w:p>
    <w:p w14:paraId="5B2BC6F7" w14:textId="6199FE15" w:rsidR="00F36BB9" w:rsidRDefault="00066E7F" w:rsidP="001A570E">
      <w:pPr>
        <w:spacing w:before="0" w:after="0" w:line="240" w:lineRule="auto"/>
      </w:pPr>
      <w:r>
        <w:t>Grants</w:t>
      </w:r>
      <w:r w:rsidRPr="00D66FFC">
        <w:t xml:space="preserve"> </w:t>
      </w:r>
      <w:r w:rsidR="001A570E" w:rsidRPr="00D66FFC">
        <w:t xml:space="preserve">will be </w:t>
      </w:r>
      <w:r>
        <w:t>awarded</w:t>
      </w:r>
      <w:r w:rsidRPr="00D66FFC">
        <w:t xml:space="preserve"> </w:t>
      </w:r>
      <w:r w:rsidR="00957DE6">
        <w:t>once per calendar year</w:t>
      </w:r>
      <w:r w:rsidR="001A570E" w:rsidRPr="00D66FFC">
        <w:t>. Based on the number of applications received and funding availability, the Environment and Climate Committee</w:t>
      </w:r>
      <w:r w:rsidR="00DB64B9">
        <w:t xml:space="preserve"> (“ECC”)</w:t>
      </w:r>
      <w:r w:rsidR="001A570E" w:rsidRPr="00D66FFC">
        <w:t>, in coordination with</w:t>
      </w:r>
      <w:r w:rsidR="004664E2">
        <w:t xml:space="preserve"> City</w:t>
      </w:r>
      <w:r w:rsidR="001A570E" w:rsidRPr="00D66FFC">
        <w:t xml:space="preserve"> staff, will </w:t>
      </w:r>
      <w:r w:rsidR="007470C4">
        <w:t>recommend funding allocations.</w:t>
      </w:r>
      <w:r w:rsidR="001A570E" w:rsidRPr="00D66FFC">
        <w:t xml:space="preserve"> Final funding decisions will be made by the City Manager</w:t>
      </w:r>
      <w:r w:rsidR="006101B7">
        <w:t>.</w:t>
      </w:r>
    </w:p>
    <w:p w14:paraId="483322C8" w14:textId="565A2434" w:rsidR="001A570E" w:rsidRPr="00D66FFC" w:rsidRDefault="001A570E" w:rsidP="001A570E">
      <w:pPr>
        <w:spacing w:before="0" w:after="0" w:line="240" w:lineRule="auto"/>
      </w:pPr>
      <w:r w:rsidRPr="00D66FFC">
        <w:t xml:space="preserve"> </w:t>
      </w:r>
    </w:p>
    <w:p w14:paraId="05E76F5A" w14:textId="75801968" w:rsidR="0099793B" w:rsidRPr="00D66FFC" w:rsidRDefault="001A570E" w:rsidP="001A570E">
      <w:pPr>
        <w:spacing w:before="0" w:after="0" w:line="240" w:lineRule="auto"/>
      </w:pPr>
      <w:r w:rsidRPr="00D66FFC">
        <w:t>The application process shall be as follows:</w:t>
      </w:r>
    </w:p>
    <w:p w14:paraId="22C0B9D2" w14:textId="1AD86E68" w:rsidR="001A570E" w:rsidRPr="00D66FFC" w:rsidRDefault="001A570E" w:rsidP="001A570E">
      <w:pPr>
        <w:numPr>
          <w:ilvl w:val="0"/>
          <w:numId w:val="3"/>
        </w:numPr>
        <w:spacing w:before="0" w:after="0" w:line="240" w:lineRule="auto"/>
      </w:pPr>
      <w:r w:rsidRPr="00491FE8">
        <w:rPr>
          <w:b/>
          <w:bCs/>
        </w:rPr>
        <w:t>Application</w:t>
      </w:r>
      <w:r w:rsidRPr="00D66FFC">
        <w:t xml:space="preserve"> – Eligible organizations </w:t>
      </w:r>
      <w:r w:rsidR="00103E46">
        <w:t>submit a completed application and</w:t>
      </w:r>
      <w:r w:rsidRPr="00D66FFC">
        <w:t xml:space="preserve"> required documents </w:t>
      </w:r>
      <w:r w:rsidR="00340DA5">
        <w:t xml:space="preserve">via this </w:t>
      </w:r>
      <w:hyperlink r:id="rId9" w:history="1">
        <w:r w:rsidR="00340DA5" w:rsidRPr="00F76628">
          <w:rPr>
            <w:rStyle w:val="Hyperlink"/>
          </w:rPr>
          <w:t>Microsoft Form</w:t>
        </w:r>
      </w:hyperlink>
      <w:r w:rsidR="00340DA5">
        <w:t xml:space="preserve">. </w:t>
      </w:r>
    </w:p>
    <w:p w14:paraId="56A56D0D" w14:textId="22051D38" w:rsidR="001A570E" w:rsidRPr="00D66FFC" w:rsidRDefault="001A570E" w:rsidP="001A570E">
      <w:pPr>
        <w:numPr>
          <w:ilvl w:val="0"/>
          <w:numId w:val="3"/>
        </w:numPr>
        <w:spacing w:before="0" w:after="0" w:line="240" w:lineRule="auto"/>
      </w:pPr>
      <w:r w:rsidRPr="00491FE8">
        <w:rPr>
          <w:b/>
          <w:bCs/>
        </w:rPr>
        <w:t>Screening</w:t>
      </w:r>
      <w:r w:rsidRPr="00D66FFC">
        <w:t xml:space="preserve"> – </w:t>
      </w:r>
      <w:r w:rsidR="00103E46">
        <w:t xml:space="preserve">City </w:t>
      </w:r>
      <w:r w:rsidRPr="00D66FFC">
        <w:t xml:space="preserve">Staff screen applications </w:t>
      </w:r>
      <w:r w:rsidR="00FB2AE1">
        <w:t>for</w:t>
      </w:r>
      <w:r w:rsidRPr="00D66FFC">
        <w:t xml:space="preserve"> eligibility based on program parameters. </w:t>
      </w:r>
      <w:r w:rsidR="00D4477D">
        <w:t>Staff ma</w:t>
      </w:r>
      <w:r w:rsidR="00511870">
        <w:t>y</w:t>
      </w:r>
      <w:r w:rsidR="0066389E">
        <w:t>, at Staff’s discretion,</w:t>
      </w:r>
      <w:r w:rsidR="00D4477D">
        <w:t xml:space="preserve"> provide </w:t>
      </w:r>
      <w:r w:rsidR="00FB2AE1">
        <w:t xml:space="preserve">funding </w:t>
      </w:r>
      <w:r w:rsidR="00D4477D">
        <w:t xml:space="preserve">recommendations to the </w:t>
      </w:r>
      <w:r w:rsidR="00DB64B9">
        <w:t>ECC</w:t>
      </w:r>
      <w:r w:rsidR="00D4477D">
        <w:t xml:space="preserve"> based on the</w:t>
      </w:r>
      <w:r w:rsidR="00B0676B">
        <w:t xml:space="preserve"> evaluation</w:t>
      </w:r>
      <w:r w:rsidR="00D4477D">
        <w:t xml:space="preserve"> </w:t>
      </w:r>
      <w:r w:rsidR="003E0A47">
        <w:t xml:space="preserve">criteria </w:t>
      </w:r>
      <w:r w:rsidR="00D4477D">
        <w:t>described below.</w:t>
      </w:r>
    </w:p>
    <w:p w14:paraId="23557BAB" w14:textId="75AEF964" w:rsidR="001A570E" w:rsidRPr="00D66FFC" w:rsidRDefault="001A570E" w:rsidP="007D4D0E">
      <w:pPr>
        <w:numPr>
          <w:ilvl w:val="0"/>
          <w:numId w:val="3"/>
        </w:numPr>
        <w:spacing w:before="0" w:after="0" w:line="240" w:lineRule="auto"/>
      </w:pPr>
      <w:r w:rsidRPr="0066389E">
        <w:rPr>
          <w:b/>
          <w:bCs/>
        </w:rPr>
        <w:t>Review</w:t>
      </w:r>
      <w:r w:rsidRPr="00D66FFC">
        <w:t xml:space="preserve"> –</w:t>
      </w:r>
      <w:r w:rsidR="007D4D0E">
        <w:t xml:space="preserve"> The ECC reviews eligible applications and may invite applicants to present their proposals at a public meeting to gather additional information. The ECC will then recommend funding awards to the City Manager</w:t>
      </w:r>
      <w:r w:rsidR="002542E2">
        <w:t xml:space="preserve">. </w:t>
      </w:r>
      <w:r w:rsidRPr="00D66FFC">
        <w:t xml:space="preserve">Applications will be considered and awarded on a nondiscriminatory basis in accordance with state, federal, and local law, as well as </w:t>
      </w:r>
      <w:r w:rsidR="00ED2993">
        <w:t>factors</w:t>
      </w:r>
      <w:r w:rsidR="00ED2993" w:rsidRPr="00D66FFC">
        <w:t xml:space="preserve"> </w:t>
      </w:r>
      <w:r w:rsidRPr="00D66FFC">
        <w:t>described below.</w:t>
      </w:r>
    </w:p>
    <w:p w14:paraId="567C74CF" w14:textId="5E377537" w:rsidR="00002AEB" w:rsidRDefault="001A570E" w:rsidP="00002AEB">
      <w:pPr>
        <w:numPr>
          <w:ilvl w:val="0"/>
          <w:numId w:val="3"/>
        </w:numPr>
        <w:spacing w:before="0" w:after="0" w:line="240" w:lineRule="auto"/>
      </w:pPr>
      <w:r w:rsidRPr="00E83546">
        <w:rPr>
          <w:b/>
          <w:bCs/>
        </w:rPr>
        <w:t>Award</w:t>
      </w:r>
      <w:r w:rsidRPr="00D66FFC">
        <w:t xml:space="preserve"> – </w:t>
      </w:r>
      <w:r w:rsidR="00002AEB">
        <w:t>The City Manager considers ECC recommendations when making final funding decisions but retains full discretion over award outcomes.</w:t>
      </w:r>
    </w:p>
    <w:p w14:paraId="00D1233C" w14:textId="7427EE24" w:rsidR="001A570E" w:rsidRPr="00AC3296" w:rsidRDefault="001A570E" w:rsidP="00BE7003">
      <w:pPr>
        <w:spacing w:before="0" w:after="0" w:line="240" w:lineRule="auto"/>
        <w:ind w:left="720"/>
        <w:rPr>
          <w:b/>
          <w:bCs/>
        </w:rPr>
      </w:pPr>
      <w:r w:rsidRPr="00AC3296">
        <w:rPr>
          <w:b/>
          <w:bCs/>
        </w:rPr>
        <w:lastRenderedPageBreak/>
        <w:t>Contractual Agreement, Funding, &amp; Reporting</w:t>
      </w:r>
      <w:r w:rsidR="00F36BB9">
        <w:t xml:space="preserve"> – Grantees have </w:t>
      </w:r>
      <w:r w:rsidR="00FF18F2">
        <w:t xml:space="preserve">two </w:t>
      </w:r>
      <w:r w:rsidR="00F36BB9">
        <w:t>years from the grant agreement date to complete the</w:t>
      </w:r>
      <w:r w:rsidR="00FF18F2">
        <w:t>ir</w:t>
      </w:r>
      <w:r w:rsidR="00F36BB9">
        <w:t xml:space="preserve"> </w:t>
      </w:r>
      <w:r w:rsidR="00FF18F2">
        <w:t>projects</w:t>
      </w:r>
      <w:r w:rsidR="00F36BB9">
        <w:t xml:space="preserve">. </w:t>
      </w:r>
      <w:r w:rsidR="00AC3296">
        <w:t>Requests for extensions must be submitted before the period of performance concludes, to be considered.</w:t>
      </w:r>
      <w:r w:rsidR="00BE7003">
        <w:t xml:space="preserve"> </w:t>
      </w:r>
    </w:p>
    <w:p w14:paraId="16D05338" w14:textId="77777777" w:rsidR="00F76628" w:rsidRDefault="00F76628" w:rsidP="001A570E">
      <w:pPr>
        <w:spacing w:before="0" w:after="0" w:line="240" w:lineRule="auto"/>
        <w:rPr>
          <w:b/>
          <w:bCs/>
        </w:rPr>
      </w:pPr>
    </w:p>
    <w:p w14:paraId="7241571C" w14:textId="7C104267" w:rsidR="001A570E" w:rsidRPr="00D66FFC" w:rsidRDefault="001A570E" w:rsidP="001A570E">
      <w:pPr>
        <w:spacing w:before="0" w:after="0" w:line="240" w:lineRule="auto"/>
        <w:rPr>
          <w:b/>
          <w:bCs/>
        </w:rPr>
      </w:pPr>
      <w:r w:rsidRPr="00D66FFC">
        <w:rPr>
          <w:b/>
          <w:bCs/>
        </w:rPr>
        <w:t>APPLICATION REQUIREMENTS</w:t>
      </w:r>
    </w:p>
    <w:p w14:paraId="4FB7D4B8" w14:textId="23B03BE2" w:rsidR="001A570E" w:rsidRDefault="001A570E" w:rsidP="001A570E">
      <w:pPr>
        <w:spacing w:before="0" w:after="0" w:line="240" w:lineRule="auto"/>
      </w:pPr>
      <w:r w:rsidRPr="00D66FFC">
        <w:t xml:space="preserve">All applicants must complete and submit one copy of the grant application form, and all required supporting documentation. </w:t>
      </w:r>
      <w:r w:rsidR="00855A12">
        <w:t>The</w:t>
      </w:r>
      <w:r w:rsidRPr="00D66FFC">
        <w:t xml:space="preserve"> application will be available on the City’s website.</w:t>
      </w:r>
    </w:p>
    <w:p w14:paraId="208C921C" w14:textId="77777777" w:rsidR="00F36BB9" w:rsidRPr="00D66FFC" w:rsidRDefault="00F36BB9" w:rsidP="001A570E">
      <w:pPr>
        <w:spacing w:before="0" w:after="0" w:line="240" w:lineRule="auto"/>
      </w:pPr>
    </w:p>
    <w:p w14:paraId="5A686C7C" w14:textId="31D0C63E" w:rsidR="001A570E" w:rsidRPr="00D66FFC" w:rsidRDefault="001A570E" w:rsidP="001A570E">
      <w:pPr>
        <w:spacing w:before="0" w:after="0" w:line="240" w:lineRule="auto"/>
      </w:pPr>
      <w:r w:rsidRPr="00D66FFC">
        <w:t xml:space="preserve">All grant applications must clearly and concisely describe the project to be funded, identify how the funds will be used to implement CCAP actions and reduce greenhouse gas emissions </w:t>
      </w:r>
      <w:r w:rsidR="004225AA">
        <w:t xml:space="preserve">and/or enhance climate resilience </w:t>
      </w:r>
      <w:r w:rsidRPr="00D66FFC">
        <w:t>in Bend, how the project meets the eligibility criteria and intention of this program, and an amount of funds requested and proposed budget for the project.</w:t>
      </w:r>
    </w:p>
    <w:p w14:paraId="7316C27C" w14:textId="77777777" w:rsidR="001A570E" w:rsidRPr="00D66FFC" w:rsidRDefault="001A570E" w:rsidP="001A570E">
      <w:pPr>
        <w:spacing w:before="0" w:after="0" w:line="240" w:lineRule="auto"/>
      </w:pPr>
    </w:p>
    <w:p w14:paraId="4B300F66" w14:textId="037FF5BF" w:rsidR="001A570E" w:rsidRDefault="001A570E" w:rsidP="001A570E">
      <w:pPr>
        <w:spacing w:before="0" w:after="0" w:line="240" w:lineRule="auto"/>
      </w:pPr>
      <w:r w:rsidRPr="00D66FFC">
        <w:t xml:space="preserve">All documents received by the </w:t>
      </w:r>
      <w:proofErr w:type="gramStart"/>
      <w:r w:rsidRPr="00D66FFC">
        <w:t>City</w:t>
      </w:r>
      <w:proofErr w:type="gramEnd"/>
      <w:r w:rsidRPr="00D66FFC">
        <w:t xml:space="preserve"> </w:t>
      </w:r>
      <w:r w:rsidR="00D4477D">
        <w:t>may be</w:t>
      </w:r>
      <w:r w:rsidR="00D4477D" w:rsidRPr="00D66FFC">
        <w:t xml:space="preserve"> </w:t>
      </w:r>
      <w:r w:rsidRPr="00D66FFC">
        <w:t>subject to public disclosure.</w:t>
      </w:r>
      <w:r w:rsidR="0074191C">
        <w:t xml:space="preserve"> Application information will be shared with the City’s Environment and Climate Committee and posted publicly on the committee webpage on the City’s website. </w:t>
      </w:r>
      <w:r w:rsidRPr="00D66FFC">
        <w:t xml:space="preserve">Information deemed by the </w:t>
      </w:r>
      <w:r w:rsidRPr="00C110A1">
        <w:t>application</w:t>
      </w:r>
      <w:r w:rsidRPr="00D66FFC">
        <w:t xml:space="preserve"> as exempt under Oregon’s public records law must be clearly marked by the applicant as “Proprietary.” Marked pages must be placed in a group separate from the remainder of the </w:t>
      </w:r>
      <w:r w:rsidRPr="004417B9">
        <w:t>proposal. The City will make an independent determination regarding exemptions applicable to information that has been properly marked and segregated.</w:t>
      </w:r>
      <w:r w:rsidRPr="00D66FFC">
        <w:t xml:space="preserve"> The City will attempt to maintain the confidentiality or materials clearly marked “Proprietary” to the extent allowable under Oregon public records law.</w:t>
      </w:r>
    </w:p>
    <w:p w14:paraId="3936ACAC" w14:textId="77777777" w:rsidR="007F32BB" w:rsidRDefault="007F32BB" w:rsidP="001A570E">
      <w:pPr>
        <w:spacing w:before="0" w:after="0" w:line="240" w:lineRule="auto"/>
      </w:pPr>
    </w:p>
    <w:p w14:paraId="572279C6" w14:textId="15FA7D22" w:rsidR="001A570E" w:rsidRDefault="001A570E" w:rsidP="001A570E">
      <w:pPr>
        <w:spacing w:before="0" w:after="0" w:line="240" w:lineRule="auto"/>
        <w:rPr>
          <w:b/>
          <w:bCs/>
        </w:rPr>
      </w:pPr>
      <w:r w:rsidRPr="00D66FFC">
        <w:rPr>
          <w:b/>
          <w:bCs/>
        </w:rPr>
        <w:t>EVAUATION CRITERIA</w:t>
      </w:r>
    </w:p>
    <w:p w14:paraId="0B403B77" w14:textId="1507FD38" w:rsidR="001D02B9" w:rsidRDefault="001D02B9" w:rsidP="001D02B9">
      <w:pPr>
        <w:spacing w:before="0" w:after="0" w:line="240" w:lineRule="auto"/>
      </w:pPr>
      <w:r w:rsidRPr="001D02B9">
        <w:t xml:space="preserve">Eligible applications </w:t>
      </w:r>
      <w:r w:rsidR="00AA4A0B">
        <w:t>may</w:t>
      </w:r>
      <w:r w:rsidRPr="001D02B9">
        <w:t xml:space="preserve"> be evaluated and scored by staff based on the criteria outlined below. These scores</w:t>
      </w:r>
      <w:r w:rsidR="00ED23E3">
        <w:t xml:space="preserve"> and </w:t>
      </w:r>
      <w:r w:rsidRPr="001D02B9">
        <w:t>funding recommendations</w:t>
      </w:r>
      <w:r w:rsidR="00ED23E3">
        <w:t xml:space="preserve"> </w:t>
      </w:r>
      <w:r w:rsidR="00FC6A3B">
        <w:t>may</w:t>
      </w:r>
      <w:r w:rsidRPr="001D02B9">
        <w:t xml:space="preserve"> be presented to the Environment and Climate Committee (ECC) as an objective starting point for discussion. The ECC will then deliberate on which projects to fund and at what levels, before making final recommendations to the City Manager.</w:t>
      </w:r>
    </w:p>
    <w:p w14:paraId="08C265C6" w14:textId="77777777" w:rsidR="001D02B9" w:rsidRPr="001D02B9" w:rsidRDefault="001D02B9" w:rsidP="001D02B9">
      <w:pPr>
        <w:spacing w:before="0" w:after="0" w:line="240" w:lineRule="auto"/>
      </w:pPr>
    </w:p>
    <w:tbl>
      <w:tblPr>
        <w:tblStyle w:val="TableGrid"/>
        <w:tblW w:w="0" w:type="auto"/>
        <w:tblLook w:val="04A0" w:firstRow="1" w:lastRow="0" w:firstColumn="1" w:lastColumn="0" w:noHBand="0" w:noVBand="1"/>
      </w:tblPr>
      <w:tblGrid>
        <w:gridCol w:w="2468"/>
        <w:gridCol w:w="3818"/>
        <w:gridCol w:w="3064"/>
      </w:tblGrid>
      <w:tr w:rsidR="00957DE6" w:rsidRPr="00D66FFC" w14:paraId="3AB848C9" w14:textId="5BA1CE71" w:rsidTr="00957DE6">
        <w:tc>
          <w:tcPr>
            <w:tcW w:w="2468" w:type="dxa"/>
          </w:tcPr>
          <w:p w14:paraId="60A69225" w14:textId="77777777" w:rsidR="00957DE6" w:rsidRPr="00D66FFC" w:rsidRDefault="00957DE6">
            <w:pPr>
              <w:spacing w:before="0" w:line="240" w:lineRule="auto"/>
              <w:rPr>
                <w:b/>
                <w:bCs/>
              </w:rPr>
            </w:pPr>
            <w:r w:rsidRPr="00D66FFC">
              <w:rPr>
                <w:b/>
                <w:bCs/>
              </w:rPr>
              <w:t>Category</w:t>
            </w:r>
          </w:p>
        </w:tc>
        <w:tc>
          <w:tcPr>
            <w:tcW w:w="3818" w:type="dxa"/>
          </w:tcPr>
          <w:p w14:paraId="714180E3" w14:textId="77777777" w:rsidR="00957DE6" w:rsidRPr="00D66FFC" w:rsidRDefault="00957DE6">
            <w:pPr>
              <w:spacing w:before="0" w:line="240" w:lineRule="auto"/>
              <w:rPr>
                <w:b/>
                <w:bCs/>
              </w:rPr>
            </w:pPr>
            <w:r w:rsidRPr="00D66FFC">
              <w:rPr>
                <w:b/>
                <w:bCs/>
              </w:rPr>
              <w:t>Description</w:t>
            </w:r>
          </w:p>
        </w:tc>
        <w:tc>
          <w:tcPr>
            <w:tcW w:w="3064" w:type="dxa"/>
          </w:tcPr>
          <w:p w14:paraId="6979A8B4" w14:textId="67B06EB6" w:rsidR="00957DE6" w:rsidRPr="00D66FFC" w:rsidRDefault="00957DE6">
            <w:pPr>
              <w:spacing w:before="0" w:line="240" w:lineRule="auto"/>
              <w:rPr>
                <w:b/>
                <w:bCs/>
              </w:rPr>
            </w:pPr>
            <w:r>
              <w:rPr>
                <w:b/>
                <w:bCs/>
              </w:rPr>
              <w:t>Points</w:t>
            </w:r>
          </w:p>
        </w:tc>
      </w:tr>
      <w:tr w:rsidR="00957DE6" w:rsidRPr="00D66FFC" w14:paraId="38105D85" w14:textId="7B49F18E" w:rsidTr="00957DE6">
        <w:tc>
          <w:tcPr>
            <w:tcW w:w="2468" w:type="dxa"/>
          </w:tcPr>
          <w:p w14:paraId="4ACD279A" w14:textId="77777777" w:rsidR="00957DE6" w:rsidRPr="00D66FFC" w:rsidRDefault="00957DE6">
            <w:pPr>
              <w:spacing w:before="0" w:line="240" w:lineRule="auto"/>
              <w:rPr>
                <w:b/>
                <w:bCs/>
              </w:rPr>
            </w:pPr>
            <w:r w:rsidRPr="00D66FFC">
              <w:rPr>
                <w:b/>
                <w:bCs/>
              </w:rPr>
              <w:t>Project Impact</w:t>
            </w:r>
          </w:p>
          <w:p w14:paraId="3B751DF4" w14:textId="77777777" w:rsidR="00957DE6" w:rsidRPr="00D66FFC" w:rsidRDefault="00957DE6">
            <w:pPr>
              <w:spacing w:before="0" w:line="240" w:lineRule="auto"/>
              <w:rPr>
                <w:b/>
                <w:bCs/>
              </w:rPr>
            </w:pPr>
          </w:p>
        </w:tc>
        <w:tc>
          <w:tcPr>
            <w:tcW w:w="3818" w:type="dxa"/>
          </w:tcPr>
          <w:p w14:paraId="170AFFC5" w14:textId="5B4B9A9D" w:rsidR="00957DE6" w:rsidRPr="00D66FFC" w:rsidRDefault="00957DE6">
            <w:pPr>
              <w:spacing w:before="0" w:line="240" w:lineRule="auto"/>
            </w:pPr>
            <w:r w:rsidRPr="00D66FFC">
              <w:t xml:space="preserve">Assess the project's ability to </w:t>
            </w:r>
            <w:r w:rsidRPr="00D66FFC">
              <w:rPr>
                <w:b/>
                <w:bCs/>
              </w:rPr>
              <w:t>reduce greenhouse gas (GHG) emissions</w:t>
            </w:r>
            <w:r w:rsidRPr="00D66FFC">
              <w:t xml:space="preserve"> and the extent to which the project </w:t>
            </w:r>
            <w:r w:rsidRPr="00D66FFC">
              <w:rPr>
                <w:b/>
                <w:bCs/>
              </w:rPr>
              <w:t>engages and benefits</w:t>
            </w:r>
            <w:r w:rsidRPr="00D66FFC">
              <w:t xml:space="preserve"> the </w:t>
            </w:r>
            <w:r w:rsidRPr="00D66FFC">
              <w:rPr>
                <w:b/>
                <w:bCs/>
              </w:rPr>
              <w:t>local community</w:t>
            </w:r>
            <w:r w:rsidRPr="00D66FFC">
              <w:t xml:space="preserve">. </w:t>
            </w:r>
            <w:r>
              <w:t xml:space="preserve">Impact will also take into account the </w:t>
            </w:r>
            <w:r w:rsidRPr="00681409">
              <w:rPr>
                <w:b/>
                <w:bCs/>
              </w:rPr>
              <w:t>cost effectiveness</w:t>
            </w:r>
            <w:r>
              <w:t xml:space="preserve"> of the proposal and alignment with other City and community priorities.</w:t>
            </w:r>
          </w:p>
        </w:tc>
        <w:tc>
          <w:tcPr>
            <w:tcW w:w="3064" w:type="dxa"/>
          </w:tcPr>
          <w:p w14:paraId="5EC4D191" w14:textId="7AEB5ABC" w:rsidR="00957DE6" w:rsidRPr="00D66FFC" w:rsidRDefault="00957DE6">
            <w:pPr>
              <w:spacing w:before="0" w:line="240" w:lineRule="auto"/>
            </w:pPr>
            <w:r>
              <w:t>42</w:t>
            </w:r>
          </w:p>
        </w:tc>
      </w:tr>
      <w:tr w:rsidR="00957DE6" w:rsidRPr="00D66FFC" w14:paraId="2583E2E3" w14:textId="3FA8809E" w:rsidTr="00957DE6">
        <w:tc>
          <w:tcPr>
            <w:tcW w:w="2468" w:type="dxa"/>
          </w:tcPr>
          <w:p w14:paraId="66E07641" w14:textId="77777777" w:rsidR="00957DE6" w:rsidRPr="00D66FFC" w:rsidRDefault="00957DE6">
            <w:pPr>
              <w:spacing w:before="0" w:line="240" w:lineRule="auto"/>
              <w:rPr>
                <w:b/>
                <w:bCs/>
              </w:rPr>
            </w:pPr>
            <w:r w:rsidRPr="00D66FFC">
              <w:rPr>
                <w:b/>
                <w:bCs/>
              </w:rPr>
              <w:t xml:space="preserve">Organizational Capacity </w:t>
            </w:r>
          </w:p>
          <w:p w14:paraId="4C258BA1" w14:textId="77777777" w:rsidR="00957DE6" w:rsidRPr="00D66FFC" w:rsidRDefault="00957DE6">
            <w:pPr>
              <w:spacing w:before="0" w:line="240" w:lineRule="auto"/>
              <w:rPr>
                <w:b/>
                <w:bCs/>
              </w:rPr>
            </w:pPr>
          </w:p>
        </w:tc>
        <w:tc>
          <w:tcPr>
            <w:tcW w:w="3818" w:type="dxa"/>
          </w:tcPr>
          <w:p w14:paraId="576A8E88" w14:textId="3AAECAB7" w:rsidR="00957DE6" w:rsidRPr="00D66FFC" w:rsidRDefault="00957DE6">
            <w:pPr>
              <w:spacing w:before="0" w:line="240" w:lineRule="auto"/>
            </w:pPr>
            <w:r w:rsidRPr="00D66FFC">
              <w:t xml:space="preserve">Consider the </w:t>
            </w:r>
            <w:r w:rsidR="00511870" w:rsidRPr="00D66FFC">
              <w:t>organization’s</w:t>
            </w:r>
            <w:r w:rsidRPr="00D66FFC">
              <w:t xml:space="preserve"> </w:t>
            </w:r>
            <w:r w:rsidRPr="00D66FFC">
              <w:rPr>
                <w:b/>
                <w:bCs/>
              </w:rPr>
              <w:t>relevant experience</w:t>
            </w:r>
            <w:r w:rsidRPr="00D66FFC">
              <w:t xml:space="preserve"> in executing similar projects and review the </w:t>
            </w:r>
            <w:r w:rsidR="00793E39" w:rsidRPr="00D66FFC">
              <w:lastRenderedPageBreak/>
              <w:t>organization’s</w:t>
            </w:r>
            <w:r w:rsidRPr="00D66FFC">
              <w:t xml:space="preserve"> track record of </w:t>
            </w:r>
            <w:r w:rsidRPr="00D66FFC">
              <w:rPr>
                <w:b/>
                <w:bCs/>
              </w:rPr>
              <w:t>past project successes</w:t>
            </w:r>
            <w:r w:rsidRPr="00D66FFC">
              <w:t>.</w:t>
            </w:r>
          </w:p>
        </w:tc>
        <w:tc>
          <w:tcPr>
            <w:tcW w:w="3064" w:type="dxa"/>
          </w:tcPr>
          <w:p w14:paraId="3E5AF82D" w14:textId="01B772FF" w:rsidR="00957DE6" w:rsidRPr="00D66FFC" w:rsidRDefault="00957DE6">
            <w:pPr>
              <w:spacing w:before="0" w:line="240" w:lineRule="auto"/>
            </w:pPr>
            <w:r>
              <w:lastRenderedPageBreak/>
              <w:t>12</w:t>
            </w:r>
          </w:p>
        </w:tc>
      </w:tr>
      <w:tr w:rsidR="00957DE6" w:rsidRPr="00D66FFC" w14:paraId="40618D29" w14:textId="42EFBAD4" w:rsidTr="00957DE6">
        <w:tc>
          <w:tcPr>
            <w:tcW w:w="2468" w:type="dxa"/>
          </w:tcPr>
          <w:p w14:paraId="4FA3E39F" w14:textId="77777777" w:rsidR="00957DE6" w:rsidRPr="00D66FFC" w:rsidRDefault="00957DE6">
            <w:pPr>
              <w:spacing w:before="0" w:line="240" w:lineRule="auto"/>
              <w:rPr>
                <w:b/>
                <w:bCs/>
              </w:rPr>
            </w:pPr>
            <w:r w:rsidRPr="00D66FFC">
              <w:rPr>
                <w:b/>
                <w:bCs/>
              </w:rPr>
              <w:t xml:space="preserve">Feasibility </w:t>
            </w:r>
          </w:p>
        </w:tc>
        <w:tc>
          <w:tcPr>
            <w:tcW w:w="3818" w:type="dxa"/>
          </w:tcPr>
          <w:p w14:paraId="5D603DB3" w14:textId="77777777" w:rsidR="00957DE6" w:rsidRPr="00D66FFC" w:rsidRDefault="00957DE6">
            <w:pPr>
              <w:spacing w:before="0" w:line="240" w:lineRule="auto"/>
            </w:pPr>
            <w:r w:rsidRPr="00D66FFC">
              <w:t xml:space="preserve">Assess the projects </w:t>
            </w:r>
            <w:r w:rsidRPr="00D66FFC">
              <w:rPr>
                <w:b/>
                <w:bCs/>
              </w:rPr>
              <w:t>budget</w:t>
            </w:r>
            <w:r w:rsidRPr="00D66FFC">
              <w:t xml:space="preserve"> and </w:t>
            </w:r>
            <w:r w:rsidRPr="00D66FFC">
              <w:rPr>
                <w:b/>
                <w:bCs/>
              </w:rPr>
              <w:t>implementation plan</w:t>
            </w:r>
            <w:r w:rsidRPr="00D66FFC">
              <w:t xml:space="preserve"> (project steps and timeline) to ensure it’s realistic and sustainable. </w:t>
            </w:r>
          </w:p>
        </w:tc>
        <w:tc>
          <w:tcPr>
            <w:tcW w:w="3064" w:type="dxa"/>
          </w:tcPr>
          <w:p w14:paraId="01DF20C0" w14:textId="49B3DC4D" w:rsidR="00957DE6" w:rsidRPr="00D66FFC" w:rsidRDefault="00957DE6">
            <w:pPr>
              <w:spacing w:before="0" w:line="240" w:lineRule="auto"/>
            </w:pPr>
            <w:r>
              <w:t>12</w:t>
            </w:r>
          </w:p>
        </w:tc>
      </w:tr>
      <w:tr w:rsidR="00957DE6" w:rsidRPr="00D66FFC" w14:paraId="3B2ED10F" w14:textId="67F80F09" w:rsidTr="00957DE6">
        <w:tc>
          <w:tcPr>
            <w:tcW w:w="2468" w:type="dxa"/>
          </w:tcPr>
          <w:p w14:paraId="79713688" w14:textId="77777777" w:rsidR="00957DE6" w:rsidRPr="00D66FFC" w:rsidRDefault="00957DE6">
            <w:pPr>
              <w:spacing w:before="0" w:line="240" w:lineRule="auto"/>
              <w:rPr>
                <w:b/>
                <w:bCs/>
              </w:rPr>
            </w:pPr>
            <w:r w:rsidRPr="00D66FFC">
              <w:rPr>
                <w:b/>
                <w:bCs/>
              </w:rPr>
              <w:t>Alignment with CCAP goals</w:t>
            </w:r>
          </w:p>
          <w:p w14:paraId="0745FB0B" w14:textId="77777777" w:rsidR="00957DE6" w:rsidRPr="00D66FFC" w:rsidRDefault="00957DE6">
            <w:pPr>
              <w:spacing w:before="0" w:line="240" w:lineRule="auto"/>
              <w:rPr>
                <w:b/>
                <w:bCs/>
              </w:rPr>
            </w:pPr>
          </w:p>
        </w:tc>
        <w:tc>
          <w:tcPr>
            <w:tcW w:w="3818" w:type="dxa"/>
          </w:tcPr>
          <w:p w14:paraId="22BC7D62" w14:textId="2D8F75D3" w:rsidR="00957DE6" w:rsidRPr="00D66FFC" w:rsidRDefault="00957DE6">
            <w:pPr>
              <w:spacing w:before="0" w:line="240" w:lineRule="auto"/>
            </w:pPr>
            <w:r w:rsidRPr="00D66FFC">
              <w:t xml:space="preserve">Determine how well the project </w:t>
            </w:r>
            <w:r w:rsidRPr="00D66FFC">
              <w:rPr>
                <w:b/>
                <w:bCs/>
              </w:rPr>
              <w:t>supports</w:t>
            </w:r>
            <w:r w:rsidR="00793E39">
              <w:rPr>
                <w:b/>
                <w:bCs/>
              </w:rPr>
              <w:t xml:space="preserve"> and aligns with</w:t>
            </w:r>
            <w:r w:rsidRPr="00D66FFC">
              <w:rPr>
                <w:b/>
                <w:bCs/>
              </w:rPr>
              <w:t xml:space="preserve"> CCAP goals</w:t>
            </w:r>
            <w:r w:rsidRPr="00D66FFC">
              <w:t xml:space="preserve">. </w:t>
            </w:r>
          </w:p>
        </w:tc>
        <w:tc>
          <w:tcPr>
            <w:tcW w:w="3064" w:type="dxa"/>
          </w:tcPr>
          <w:p w14:paraId="3265A955" w14:textId="7506D05F" w:rsidR="00957DE6" w:rsidRPr="00D66FFC" w:rsidRDefault="00957DE6">
            <w:pPr>
              <w:spacing w:before="0" w:line="240" w:lineRule="auto"/>
            </w:pPr>
            <w:r>
              <w:t>12</w:t>
            </w:r>
          </w:p>
        </w:tc>
      </w:tr>
      <w:tr w:rsidR="00957DE6" w:rsidRPr="00D66FFC" w14:paraId="19F4BDB7" w14:textId="011E034A" w:rsidTr="00957DE6">
        <w:tc>
          <w:tcPr>
            <w:tcW w:w="2468" w:type="dxa"/>
          </w:tcPr>
          <w:p w14:paraId="0E170FF5" w14:textId="77777777" w:rsidR="00957DE6" w:rsidRPr="00D66FFC" w:rsidRDefault="00957DE6">
            <w:pPr>
              <w:spacing w:before="0" w:line="240" w:lineRule="auto"/>
              <w:rPr>
                <w:b/>
                <w:bCs/>
              </w:rPr>
            </w:pPr>
            <w:r w:rsidRPr="00D66FFC">
              <w:rPr>
                <w:b/>
                <w:bCs/>
              </w:rPr>
              <w:t xml:space="preserve">Equity &amp; Accessibility </w:t>
            </w:r>
          </w:p>
          <w:p w14:paraId="25CBE5E0" w14:textId="77777777" w:rsidR="00957DE6" w:rsidRPr="00D66FFC" w:rsidRDefault="00957DE6">
            <w:pPr>
              <w:spacing w:before="0" w:line="240" w:lineRule="auto"/>
              <w:rPr>
                <w:b/>
                <w:bCs/>
              </w:rPr>
            </w:pPr>
          </w:p>
        </w:tc>
        <w:tc>
          <w:tcPr>
            <w:tcW w:w="3818" w:type="dxa"/>
          </w:tcPr>
          <w:p w14:paraId="1A3E7AE0" w14:textId="77777777" w:rsidR="00957DE6" w:rsidRPr="00D66FFC" w:rsidRDefault="00957DE6">
            <w:pPr>
              <w:spacing w:before="0" w:line="240" w:lineRule="auto"/>
            </w:pPr>
            <w:r w:rsidRPr="00D66FFC">
              <w:t xml:space="preserve">Ensure the project includes strategies to </w:t>
            </w:r>
            <w:r w:rsidRPr="00D66FFC">
              <w:rPr>
                <w:b/>
                <w:bCs/>
              </w:rPr>
              <w:t>involve and benefit marginalized communities</w:t>
            </w:r>
            <w:r w:rsidRPr="00D66FFC">
              <w:t>.</w:t>
            </w:r>
          </w:p>
        </w:tc>
        <w:tc>
          <w:tcPr>
            <w:tcW w:w="3064" w:type="dxa"/>
          </w:tcPr>
          <w:p w14:paraId="7770E673" w14:textId="493F0D1A" w:rsidR="00957DE6" w:rsidRPr="00D66FFC" w:rsidRDefault="00957DE6">
            <w:pPr>
              <w:spacing w:before="0" w:line="240" w:lineRule="auto"/>
            </w:pPr>
            <w:r>
              <w:t>22</w:t>
            </w:r>
          </w:p>
        </w:tc>
      </w:tr>
    </w:tbl>
    <w:p w14:paraId="085A1CA3" w14:textId="77777777" w:rsidR="00B63EDE" w:rsidRDefault="00B63EDE" w:rsidP="00DA4E40">
      <w:pPr>
        <w:spacing w:before="0" w:after="0" w:line="240" w:lineRule="auto"/>
        <w:rPr>
          <w:b/>
          <w:bCs/>
        </w:rPr>
      </w:pPr>
    </w:p>
    <w:p w14:paraId="1F78B308" w14:textId="734A66E4" w:rsidR="00D4477D" w:rsidRDefault="00793E39" w:rsidP="00DA4E40">
      <w:pPr>
        <w:spacing w:before="0" w:after="0" w:line="240" w:lineRule="auto"/>
      </w:pPr>
      <w:r>
        <w:rPr>
          <w:b/>
          <w:bCs/>
        </w:rPr>
        <w:t>CONFLICTS OF INTEREST</w:t>
      </w:r>
    </w:p>
    <w:p w14:paraId="1FE0B394" w14:textId="181725D3" w:rsidR="00D4477D" w:rsidRPr="00D4477D" w:rsidRDefault="00D4477D" w:rsidP="00957DE6">
      <w:pPr>
        <w:spacing w:before="0" w:after="0" w:line="240" w:lineRule="auto"/>
      </w:pPr>
      <w:r>
        <w:t xml:space="preserve">ECC </w:t>
      </w:r>
      <w:r w:rsidR="00C22B14">
        <w:t xml:space="preserve">members </w:t>
      </w:r>
      <w:r w:rsidR="002361AB">
        <w:t>must</w:t>
      </w:r>
      <w:r>
        <w:t xml:space="preserve"> recuse themselves </w:t>
      </w:r>
      <w:r w:rsidR="002361AB">
        <w:t>from</w:t>
      </w:r>
      <w:r>
        <w:t xml:space="preserve"> deliberation or </w:t>
      </w:r>
      <w:r w:rsidR="002361AB">
        <w:t>decisions</w:t>
      </w:r>
      <w:r>
        <w:t xml:space="preserve"> involving funding for organization</w:t>
      </w:r>
      <w:r w:rsidR="002361AB">
        <w:t>s</w:t>
      </w:r>
      <w:r>
        <w:t xml:space="preserve"> or project</w:t>
      </w:r>
      <w:r w:rsidR="002361AB">
        <w:t>s</w:t>
      </w:r>
      <w:r w:rsidR="00C22B14">
        <w:t xml:space="preserve"> that</w:t>
      </w:r>
      <w:r>
        <w:t xml:space="preserve"> they or</w:t>
      </w:r>
      <w:r w:rsidR="002361AB">
        <w:t xml:space="preserve"> their</w:t>
      </w:r>
      <w:r>
        <w:t xml:space="preserve"> </w:t>
      </w:r>
      <w:r w:rsidR="002361AB">
        <w:t>family members are affiliated with (</w:t>
      </w:r>
      <w:r w:rsidR="0075534B">
        <w:t>i.e.,</w:t>
      </w:r>
      <w:r w:rsidR="002361AB">
        <w:t xml:space="preserve"> through employment or have financial interest in). </w:t>
      </w:r>
    </w:p>
    <w:sectPr w:rsidR="00D4477D" w:rsidRPr="00D44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BF3"/>
    <w:multiLevelType w:val="hybridMultilevel"/>
    <w:tmpl w:val="32649CAE"/>
    <w:lvl w:ilvl="0" w:tplc="6FF454B2">
      <w:start w:val="1"/>
      <w:numFmt w:val="bullet"/>
      <w:lvlText w:val=""/>
      <w:lvlJc w:val="left"/>
      <w:pPr>
        <w:ind w:left="720" w:hanging="360"/>
      </w:pPr>
      <w:rPr>
        <w:rFonts w:ascii="Symbol" w:hAnsi="Symbol"/>
      </w:rPr>
    </w:lvl>
    <w:lvl w:ilvl="1" w:tplc="9F505488">
      <w:start w:val="1"/>
      <w:numFmt w:val="bullet"/>
      <w:lvlText w:val=""/>
      <w:lvlJc w:val="left"/>
      <w:pPr>
        <w:ind w:left="720" w:hanging="360"/>
      </w:pPr>
      <w:rPr>
        <w:rFonts w:ascii="Symbol" w:hAnsi="Symbol"/>
      </w:rPr>
    </w:lvl>
    <w:lvl w:ilvl="2" w:tplc="4A5E8F00">
      <w:start w:val="1"/>
      <w:numFmt w:val="bullet"/>
      <w:lvlText w:val=""/>
      <w:lvlJc w:val="left"/>
      <w:pPr>
        <w:ind w:left="720" w:hanging="360"/>
      </w:pPr>
      <w:rPr>
        <w:rFonts w:ascii="Symbol" w:hAnsi="Symbol"/>
      </w:rPr>
    </w:lvl>
    <w:lvl w:ilvl="3" w:tplc="9F5AC0B8">
      <w:start w:val="1"/>
      <w:numFmt w:val="bullet"/>
      <w:lvlText w:val=""/>
      <w:lvlJc w:val="left"/>
      <w:pPr>
        <w:ind w:left="720" w:hanging="360"/>
      </w:pPr>
      <w:rPr>
        <w:rFonts w:ascii="Symbol" w:hAnsi="Symbol"/>
      </w:rPr>
    </w:lvl>
    <w:lvl w:ilvl="4" w:tplc="068CAB14">
      <w:start w:val="1"/>
      <w:numFmt w:val="bullet"/>
      <w:lvlText w:val=""/>
      <w:lvlJc w:val="left"/>
      <w:pPr>
        <w:ind w:left="720" w:hanging="360"/>
      </w:pPr>
      <w:rPr>
        <w:rFonts w:ascii="Symbol" w:hAnsi="Symbol"/>
      </w:rPr>
    </w:lvl>
    <w:lvl w:ilvl="5" w:tplc="B05429B0">
      <w:start w:val="1"/>
      <w:numFmt w:val="bullet"/>
      <w:lvlText w:val=""/>
      <w:lvlJc w:val="left"/>
      <w:pPr>
        <w:ind w:left="720" w:hanging="360"/>
      </w:pPr>
      <w:rPr>
        <w:rFonts w:ascii="Symbol" w:hAnsi="Symbol"/>
      </w:rPr>
    </w:lvl>
    <w:lvl w:ilvl="6" w:tplc="9C46A23C">
      <w:start w:val="1"/>
      <w:numFmt w:val="bullet"/>
      <w:lvlText w:val=""/>
      <w:lvlJc w:val="left"/>
      <w:pPr>
        <w:ind w:left="720" w:hanging="360"/>
      </w:pPr>
      <w:rPr>
        <w:rFonts w:ascii="Symbol" w:hAnsi="Symbol"/>
      </w:rPr>
    </w:lvl>
    <w:lvl w:ilvl="7" w:tplc="7F4C00E6">
      <w:start w:val="1"/>
      <w:numFmt w:val="bullet"/>
      <w:lvlText w:val=""/>
      <w:lvlJc w:val="left"/>
      <w:pPr>
        <w:ind w:left="720" w:hanging="360"/>
      </w:pPr>
      <w:rPr>
        <w:rFonts w:ascii="Symbol" w:hAnsi="Symbol"/>
      </w:rPr>
    </w:lvl>
    <w:lvl w:ilvl="8" w:tplc="E7B8FC66">
      <w:start w:val="1"/>
      <w:numFmt w:val="bullet"/>
      <w:lvlText w:val=""/>
      <w:lvlJc w:val="left"/>
      <w:pPr>
        <w:ind w:left="720" w:hanging="360"/>
      </w:pPr>
      <w:rPr>
        <w:rFonts w:ascii="Symbol" w:hAnsi="Symbol"/>
      </w:rPr>
    </w:lvl>
  </w:abstractNum>
  <w:abstractNum w:abstractNumId="1" w15:restartNumberingAfterBreak="0">
    <w:nsid w:val="104B3475"/>
    <w:multiLevelType w:val="hybridMultilevel"/>
    <w:tmpl w:val="4CFE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43274"/>
    <w:multiLevelType w:val="hybridMultilevel"/>
    <w:tmpl w:val="9F9E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D022C"/>
    <w:multiLevelType w:val="hybridMultilevel"/>
    <w:tmpl w:val="F6D02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175D6F"/>
    <w:multiLevelType w:val="hybridMultilevel"/>
    <w:tmpl w:val="73A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7128F"/>
    <w:multiLevelType w:val="hybridMultilevel"/>
    <w:tmpl w:val="7DD2811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15:restartNumberingAfterBreak="0">
    <w:nsid w:val="29B118C1"/>
    <w:multiLevelType w:val="hybridMultilevel"/>
    <w:tmpl w:val="AA6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F2610"/>
    <w:multiLevelType w:val="hybridMultilevel"/>
    <w:tmpl w:val="CA8C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D5426"/>
    <w:multiLevelType w:val="hybridMultilevel"/>
    <w:tmpl w:val="4210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90229"/>
    <w:multiLevelType w:val="hybridMultilevel"/>
    <w:tmpl w:val="FC08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1283D"/>
    <w:multiLevelType w:val="multilevel"/>
    <w:tmpl w:val="C668F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0960F1"/>
    <w:multiLevelType w:val="hybridMultilevel"/>
    <w:tmpl w:val="EB3E3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07708"/>
    <w:multiLevelType w:val="hybridMultilevel"/>
    <w:tmpl w:val="5B262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0173B6"/>
    <w:multiLevelType w:val="hybridMultilevel"/>
    <w:tmpl w:val="CB84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061551">
    <w:abstractNumId w:val="11"/>
  </w:num>
  <w:num w:numId="2" w16cid:durableId="1002662833">
    <w:abstractNumId w:val="8"/>
  </w:num>
  <w:num w:numId="3" w16cid:durableId="1932662761">
    <w:abstractNumId w:val="12"/>
  </w:num>
  <w:num w:numId="4" w16cid:durableId="27075927">
    <w:abstractNumId w:val="5"/>
  </w:num>
  <w:num w:numId="5" w16cid:durableId="1724480590">
    <w:abstractNumId w:val="13"/>
  </w:num>
  <w:num w:numId="6" w16cid:durableId="1941137456">
    <w:abstractNumId w:val="9"/>
  </w:num>
  <w:num w:numId="7" w16cid:durableId="460460840">
    <w:abstractNumId w:val="2"/>
  </w:num>
  <w:num w:numId="8" w16cid:durableId="1988777257">
    <w:abstractNumId w:val="7"/>
  </w:num>
  <w:num w:numId="9" w16cid:durableId="575674789">
    <w:abstractNumId w:val="1"/>
  </w:num>
  <w:num w:numId="10" w16cid:durableId="1042562546">
    <w:abstractNumId w:val="4"/>
  </w:num>
  <w:num w:numId="11" w16cid:durableId="586622882">
    <w:abstractNumId w:val="6"/>
  </w:num>
  <w:num w:numId="12" w16cid:durableId="1146239144">
    <w:abstractNumId w:val="0"/>
  </w:num>
  <w:num w:numId="13" w16cid:durableId="1705212660">
    <w:abstractNumId w:val="10"/>
  </w:num>
  <w:num w:numId="14" w16cid:durableId="1203202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35"/>
    <w:rsid w:val="00001333"/>
    <w:rsid w:val="00002AEB"/>
    <w:rsid w:val="0000551F"/>
    <w:rsid w:val="00011C01"/>
    <w:rsid w:val="00014612"/>
    <w:rsid w:val="00022578"/>
    <w:rsid w:val="00050421"/>
    <w:rsid w:val="00057BA8"/>
    <w:rsid w:val="00061605"/>
    <w:rsid w:val="00061704"/>
    <w:rsid w:val="000617A4"/>
    <w:rsid w:val="00061AA3"/>
    <w:rsid w:val="00063D35"/>
    <w:rsid w:val="00066E7F"/>
    <w:rsid w:val="00082103"/>
    <w:rsid w:val="000A0314"/>
    <w:rsid w:val="000A075E"/>
    <w:rsid w:val="000A1DF0"/>
    <w:rsid w:val="000A4243"/>
    <w:rsid w:val="000C0CCF"/>
    <w:rsid w:val="000C46A1"/>
    <w:rsid w:val="000C7CB6"/>
    <w:rsid w:val="000E4166"/>
    <w:rsid w:val="00103E46"/>
    <w:rsid w:val="00104555"/>
    <w:rsid w:val="001076E3"/>
    <w:rsid w:val="0011205E"/>
    <w:rsid w:val="00115C45"/>
    <w:rsid w:val="001313C9"/>
    <w:rsid w:val="0014527C"/>
    <w:rsid w:val="00151215"/>
    <w:rsid w:val="00157A58"/>
    <w:rsid w:val="0016100C"/>
    <w:rsid w:val="00162CBB"/>
    <w:rsid w:val="00163BA8"/>
    <w:rsid w:val="0019624F"/>
    <w:rsid w:val="001A034A"/>
    <w:rsid w:val="001A570E"/>
    <w:rsid w:val="001B4AA3"/>
    <w:rsid w:val="001B4E98"/>
    <w:rsid w:val="001B6DDD"/>
    <w:rsid w:val="001B7D86"/>
    <w:rsid w:val="001C33BD"/>
    <w:rsid w:val="001D02B9"/>
    <w:rsid w:val="001D4D11"/>
    <w:rsid w:val="001F3140"/>
    <w:rsid w:val="001F3A24"/>
    <w:rsid w:val="00206964"/>
    <w:rsid w:val="00206A30"/>
    <w:rsid w:val="002078DE"/>
    <w:rsid w:val="00207CB3"/>
    <w:rsid w:val="00232607"/>
    <w:rsid w:val="002355A8"/>
    <w:rsid w:val="00235C53"/>
    <w:rsid w:val="002361AB"/>
    <w:rsid w:val="002450F2"/>
    <w:rsid w:val="00246744"/>
    <w:rsid w:val="00252642"/>
    <w:rsid w:val="002542E2"/>
    <w:rsid w:val="00262428"/>
    <w:rsid w:val="002639EB"/>
    <w:rsid w:val="00270DC9"/>
    <w:rsid w:val="002918CD"/>
    <w:rsid w:val="00296641"/>
    <w:rsid w:val="002A71BC"/>
    <w:rsid w:val="002B4A61"/>
    <w:rsid w:val="002B6992"/>
    <w:rsid w:val="002C5D1E"/>
    <w:rsid w:val="002C6F00"/>
    <w:rsid w:val="002D2959"/>
    <w:rsid w:val="002E3762"/>
    <w:rsid w:val="002F167C"/>
    <w:rsid w:val="002F4671"/>
    <w:rsid w:val="002F501C"/>
    <w:rsid w:val="002F56FD"/>
    <w:rsid w:val="002F5737"/>
    <w:rsid w:val="002F7D5B"/>
    <w:rsid w:val="00304793"/>
    <w:rsid w:val="0031108E"/>
    <w:rsid w:val="00311F9A"/>
    <w:rsid w:val="00323F22"/>
    <w:rsid w:val="003259AD"/>
    <w:rsid w:val="00340DA5"/>
    <w:rsid w:val="00344546"/>
    <w:rsid w:val="003463FB"/>
    <w:rsid w:val="00351E06"/>
    <w:rsid w:val="003631C5"/>
    <w:rsid w:val="00363A97"/>
    <w:rsid w:val="0037755D"/>
    <w:rsid w:val="0038202E"/>
    <w:rsid w:val="003869BB"/>
    <w:rsid w:val="00393269"/>
    <w:rsid w:val="003A657D"/>
    <w:rsid w:val="003A73CB"/>
    <w:rsid w:val="003D0863"/>
    <w:rsid w:val="003D3E6E"/>
    <w:rsid w:val="003E0A47"/>
    <w:rsid w:val="003E5B8E"/>
    <w:rsid w:val="003F00D8"/>
    <w:rsid w:val="003F36D2"/>
    <w:rsid w:val="004075D8"/>
    <w:rsid w:val="004225AA"/>
    <w:rsid w:val="00436C1B"/>
    <w:rsid w:val="004417B9"/>
    <w:rsid w:val="00444333"/>
    <w:rsid w:val="00457DB6"/>
    <w:rsid w:val="00463EDE"/>
    <w:rsid w:val="004649C4"/>
    <w:rsid w:val="004663B5"/>
    <w:rsid w:val="004664E2"/>
    <w:rsid w:val="004719FD"/>
    <w:rsid w:val="00474A83"/>
    <w:rsid w:val="00491FE8"/>
    <w:rsid w:val="0049376A"/>
    <w:rsid w:val="0049448D"/>
    <w:rsid w:val="00496108"/>
    <w:rsid w:val="004B31FB"/>
    <w:rsid w:val="004B58EC"/>
    <w:rsid w:val="004C03A2"/>
    <w:rsid w:val="004D3A51"/>
    <w:rsid w:val="004E28EE"/>
    <w:rsid w:val="004F1BB6"/>
    <w:rsid w:val="004F66A1"/>
    <w:rsid w:val="00511870"/>
    <w:rsid w:val="00513E67"/>
    <w:rsid w:val="00522AB4"/>
    <w:rsid w:val="0052300A"/>
    <w:rsid w:val="00532E51"/>
    <w:rsid w:val="005352FA"/>
    <w:rsid w:val="00535D9B"/>
    <w:rsid w:val="00567AB2"/>
    <w:rsid w:val="00574627"/>
    <w:rsid w:val="00584FFF"/>
    <w:rsid w:val="005901AA"/>
    <w:rsid w:val="00595A94"/>
    <w:rsid w:val="005A1BA2"/>
    <w:rsid w:val="005A3D1D"/>
    <w:rsid w:val="005A591D"/>
    <w:rsid w:val="005A7195"/>
    <w:rsid w:val="005B43C0"/>
    <w:rsid w:val="005B7FBD"/>
    <w:rsid w:val="005C2182"/>
    <w:rsid w:val="005C4325"/>
    <w:rsid w:val="005C5FE5"/>
    <w:rsid w:val="005C6DCC"/>
    <w:rsid w:val="005C76A2"/>
    <w:rsid w:val="005D37F5"/>
    <w:rsid w:val="005E1D85"/>
    <w:rsid w:val="005E382B"/>
    <w:rsid w:val="005E4249"/>
    <w:rsid w:val="005E6973"/>
    <w:rsid w:val="005F2B45"/>
    <w:rsid w:val="006011B6"/>
    <w:rsid w:val="00601319"/>
    <w:rsid w:val="00602FA1"/>
    <w:rsid w:val="006073D0"/>
    <w:rsid w:val="006101B7"/>
    <w:rsid w:val="00624BE3"/>
    <w:rsid w:val="00635687"/>
    <w:rsid w:val="00635CFD"/>
    <w:rsid w:val="00640B02"/>
    <w:rsid w:val="00642D48"/>
    <w:rsid w:val="0064664E"/>
    <w:rsid w:val="00656C68"/>
    <w:rsid w:val="0066389E"/>
    <w:rsid w:val="00665E01"/>
    <w:rsid w:val="00681409"/>
    <w:rsid w:val="00681D91"/>
    <w:rsid w:val="006824AD"/>
    <w:rsid w:val="0068287C"/>
    <w:rsid w:val="00683DB0"/>
    <w:rsid w:val="00684712"/>
    <w:rsid w:val="00684795"/>
    <w:rsid w:val="00692499"/>
    <w:rsid w:val="006A022A"/>
    <w:rsid w:val="006A76FB"/>
    <w:rsid w:val="006C50FD"/>
    <w:rsid w:val="006D06D1"/>
    <w:rsid w:val="006E16DF"/>
    <w:rsid w:val="006F5379"/>
    <w:rsid w:val="00703BBC"/>
    <w:rsid w:val="00713E7A"/>
    <w:rsid w:val="00726BC3"/>
    <w:rsid w:val="0074191C"/>
    <w:rsid w:val="00745D0F"/>
    <w:rsid w:val="007470C4"/>
    <w:rsid w:val="0075534B"/>
    <w:rsid w:val="007605CD"/>
    <w:rsid w:val="007616FE"/>
    <w:rsid w:val="00761C49"/>
    <w:rsid w:val="0078170A"/>
    <w:rsid w:val="00793E39"/>
    <w:rsid w:val="007A2B9A"/>
    <w:rsid w:val="007A36C3"/>
    <w:rsid w:val="007A494A"/>
    <w:rsid w:val="007B05F9"/>
    <w:rsid w:val="007B0887"/>
    <w:rsid w:val="007B21E4"/>
    <w:rsid w:val="007B3E9A"/>
    <w:rsid w:val="007C04E2"/>
    <w:rsid w:val="007C0C7C"/>
    <w:rsid w:val="007C42ED"/>
    <w:rsid w:val="007C48DA"/>
    <w:rsid w:val="007C4AE3"/>
    <w:rsid w:val="007C5B34"/>
    <w:rsid w:val="007C6F09"/>
    <w:rsid w:val="007D1ECB"/>
    <w:rsid w:val="007D4D0E"/>
    <w:rsid w:val="007E2A2D"/>
    <w:rsid w:val="007F32BB"/>
    <w:rsid w:val="007F3C69"/>
    <w:rsid w:val="00803E33"/>
    <w:rsid w:val="00830C98"/>
    <w:rsid w:val="00833E0E"/>
    <w:rsid w:val="00834E34"/>
    <w:rsid w:val="00835C6C"/>
    <w:rsid w:val="008361F7"/>
    <w:rsid w:val="00855A12"/>
    <w:rsid w:val="00856670"/>
    <w:rsid w:val="0088392B"/>
    <w:rsid w:val="00883BC0"/>
    <w:rsid w:val="00886D7A"/>
    <w:rsid w:val="0089370A"/>
    <w:rsid w:val="0089770A"/>
    <w:rsid w:val="008B7878"/>
    <w:rsid w:val="008B789E"/>
    <w:rsid w:val="008C0624"/>
    <w:rsid w:val="008C40BA"/>
    <w:rsid w:val="008E5641"/>
    <w:rsid w:val="008F0EA4"/>
    <w:rsid w:val="008F39AB"/>
    <w:rsid w:val="008F5CC8"/>
    <w:rsid w:val="008F6BFD"/>
    <w:rsid w:val="009019A6"/>
    <w:rsid w:val="009078BC"/>
    <w:rsid w:val="00910484"/>
    <w:rsid w:val="0091184E"/>
    <w:rsid w:val="0091568D"/>
    <w:rsid w:val="009224E1"/>
    <w:rsid w:val="009231E5"/>
    <w:rsid w:val="00924712"/>
    <w:rsid w:val="0092782E"/>
    <w:rsid w:val="009302EC"/>
    <w:rsid w:val="00933762"/>
    <w:rsid w:val="00943F09"/>
    <w:rsid w:val="0095275D"/>
    <w:rsid w:val="00955826"/>
    <w:rsid w:val="00957DE6"/>
    <w:rsid w:val="0096515F"/>
    <w:rsid w:val="00973DBD"/>
    <w:rsid w:val="00980A18"/>
    <w:rsid w:val="00982CBF"/>
    <w:rsid w:val="009847F5"/>
    <w:rsid w:val="00986321"/>
    <w:rsid w:val="00987612"/>
    <w:rsid w:val="009878D6"/>
    <w:rsid w:val="00993887"/>
    <w:rsid w:val="009977ED"/>
    <w:rsid w:val="0099793B"/>
    <w:rsid w:val="009A1F25"/>
    <w:rsid w:val="009C4F06"/>
    <w:rsid w:val="009D11FB"/>
    <w:rsid w:val="009E7608"/>
    <w:rsid w:val="009F05A9"/>
    <w:rsid w:val="009F428B"/>
    <w:rsid w:val="009F458C"/>
    <w:rsid w:val="009F62D4"/>
    <w:rsid w:val="00A06E54"/>
    <w:rsid w:val="00A158F2"/>
    <w:rsid w:val="00A246B5"/>
    <w:rsid w:val="00A47620"/>
    <w:rsid w:val="00A53E91"/>
    <w:rsid w:val="00A554D1"/>
    <w:rsid w:val="00A604BE"/>
    <w:rsid w:val="00A735E4"/>
    <w:rsid w:val="00A73CE7"/>
    <w:rsid w:val="00A7497D"/>
    <w:rsid w:val="00A77310"/>
    <w:rsid w:val="00A8523C"/>
    <w:rsid w:val="00A87BBF"/>
    <w:rsid w:val="00A87DAD"/>
    <w:rsid w:val="00A935A9"/>
    <w:rsid w:val="00AA1855"/>
    <w:rsid w:val="00AA4A0B"/>
    <w:rsid w:val="00AB1CEB"/>
    <w:rsid w:val="00AB20B7"/>
    <w:rsid w:val="00AC090C"/>
    <w:rsid w:val="00AC3296"/>
    <w:rsid w:val="00AC7E8F"/>
    <w:rsid w:val="00AD7E8F"/>
    <w:rsid w:val="00AE3E2D"/>
    <w:rsid w:val="00AE4CA8"/>
    <w:rsid w:val="00AE4F8C"/>
    <w:rsid w:val="00AF1190"/>
    <w:rsid w:val="00B00DB8"/>
    <w:rsid w:val="00B03E51"/>
    <w:rsid w:val="00B0676B"/>
    <w:rsid w:val="00B154F5"/>
    <w:rsid w:val="00B17735"/>
    <w:rsid w:val="00B23D18"/>
    <w:rsid w:val="00B23F59"/>
    <w:rsid w:val="00B43015"/>
    <w:rsid w:val="00B6045C"/>
    <w:rsid w:val="00B63EDE"/>
    <w:rsid w:val="00B67D3B"/>
    <w:rsid w:val="00B84305"/>
    <w:rsid w:val="00B93BE5"/>
    <w:rsid w:val="00B9575F"/>
    <w:rsid w:val="00B96B1F"/>
    <w:rsid w:val="00BD5DE4"/>
    <w:rsid w:val="00BE050F"/>
    <w:rsid w:val="00BE0B8C"/>
    <w:rsid w:val="00BE56DD"/>
    <w:rsid w:val="00BE7003"/>
    <w:rsid w:val="00C031B9"/>
    <w:rsid w:val="00C069C2"/>
    <w:rsid w:val="00C110A1"/>
    <w:rsid w:val="00C22B14"/>
    <w:rsid w:val="00C24BCB"/>
    <w:rsid w:val="00C50802"/>
    <w:rsid w:val="00C54155"/>
    <w:rsid w:val="00C54276"/>
    <w:rsid w:val="00C54B47"/>
    <w:rsid w:val="00C55977"/>
    <w:rsid w:val="00C6309F"/>
    <w:rsid w:val="00C66AAC"/>
    <w:rsid w:val="00C768DD"/>
    <w:rsid w:val="00C83C16"/>
    <w:rsid w:val="00C90185"/>
    <w:rsid w:val="00CB03BA"/>
    <w:rsid w:val="00CB1736"/>
    <w:rsid w:val="00CB37E1"/>
    <w:rsid w:val="00CB532C"/>
    <w:rsid w:val="00CF0635"/>
    <w:rsid w:val="00CF3FDF"/>
    <w:rsid w:val="00CF5A27"/>
    <w:rsid w:val="00D11DC9"/>
    <w:rsid w:val="00D1452A"/>
    <w:rsid w:val="00D1687B"/>
    <w:rsid w:val="00D179F9"/>
    <w:rsid w:val="00D278AA"/>
    <w:rsid w:val="00D30C53"/>
    <w:rsid w:val="00D32055"/>
    <w:rsid w:val="00D33B1E"/>
    <w:rsid w:val="00D376CF"/>
    <w:rsid w:val="00D4477D"/>
    <w:rsid w:val="00D45CE9"/>
    <w:rsid w:val="00D52773"/>
    <w:rsid w:val="00D53325"/>
    <w:rsid w:val="00D65025"/>
    <w:rsid w:val="00D663CF"/>
    <w:rsid w:val="00D82F6F"/>
    <w:rsid w:val="00D92AE0"/>
    <w:rsid w:val="00DA4E40"/>
    <w:rsid w:val="00DB1831"/>
    <w:rsid w:val="00DB18D3"/>
    <w:rsid w:val="00DB33A0"/>
    <w:rsid w:val="00DB64B9"/>
    <w:rsid w:val="00DD1F6B"/>
    <w:rsid w:val="00DD30B7"/>
    <w:rsid w:val="00DE5143"/>
    <w:rsid w:val="00DE66B3"/>
    <w:rsid w:val="00DF463B"/>
    <w:rsid w:val="00DF7A17"/>
    <w:rsid w:val="00DF7FF6"/>
    <w:rsid w:val="00E05E08"/>
    <w:rsid w:val="00E10281"/>
    <w:rsid w:val="00E10BA3"/>
    <w:rsid w:val="00E24DF3"/>
    <w:rsid w:val="00E252D9"/>
    <w:rsid w:val="00E26985"/>
    <w:rsid w:val="00E26A4E"/>
    <w:rsid w:val="00E47599"/>
    <w:rsid w:val="00E6046A"/>
    <w:rsid w:val="00E61638"/>
    <w:rsid w:val="00E7226F"/>
    <w:rsid w:val="00E83546"/>
    <w:rsid w:val="00E840FE"/>
    <w:rsid w:val="00EA21D5"/>
    <w:rsid w:val="00EA703D"/>
    <w:rsid w:val="00EC59B8"/>
    <w:rsid w:val="00ED18BF"/>
    <w:rsid w:val="00ED23E3"/>
    <w:rsid w:val="00ED2993"/>
    <w:rsid w:val="00EE6C8D"/>
    <w:rsid w:val="00EF63E3"/>
    <w:rsid w:val="00EF6C02"/>
    <w:rsid w:val="00F11A69"/>
    <w:rsid w:val="00F13D58"/>
    <w:rsid w:val="00F2087D"/>
    <w:rsid w:val="00F333B9"/>
    <w:rsid w:val="00F34258"/>
    <w:rsid w:val="00F34DC9"/>
    <w:rsid w:val="00F36BB9"/>
    <w:rsid w:val="00F44D1C"/>
    <w:rsid w:val="00F616E5"/>
    <w:rsid w:val="00F72689"/>
    <w:rsid w:val="00F76628"/>
    <w:rsid w:val="00F91430"/>
    <w:rsid w:val="00F92EC6"/>
    <w:rsid w:val="00FB08DC"/>
    <w:rsid w:val="00FB2AE1"/>
    <w:rsid w:val="00FB462D"/>
    <w:rsid w:val="00FB7B89"/>
    <w:rsid w:val="00FC0053"/>
    <w:rsid w:val="00FC1858"/>
    <w:rsid w:val="00FC35E0"/>
    <w:rsid w:val="00FC3C0A"/>
    <w:rsid w:val="00FC5E7F"/>
    <w:rsid w:val="00FC6A3B"/>
    <w:rsid w:val="00FD2588"/>
    <w:rsid w:val="00FD58D0"/>
    <w:rsid w:val="00FF18F2"/>
    <w:rsid w:val="1DA4C3B1"/>
    <w:rsid w:val="63DB9E3E"/>
    <w:rsid w:val="6D0E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05B1"/>
  <w15:chartTrackingRefBased/>
  <w15:docId w15:val="{EDA9EE25-794E-4075-BC64-9447420F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70E"/>
    <w:pPr>
      <w:spacing w:before="120" w:line="36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B17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735"/>
    <w:rPr>
      <w:rFonts w:eastAsiaTheme="majorEastAsia" w:cstheme="majorBidi"/>
      <w:color w:val="272727" w:themeColor="text1" w:themeTint="D8"/>
    </w:rPr>
  </w:style>
  <w:style w:type="paragraph" w:styleId="Title">
    <w:name w:val="Title"/>
    <w:basedOn w:val="Normal"/>
    <w:next w:val="Normal"/>
    <w:link w:val="TitleChar"/>
    <w:uiPriority w:val="10"/>
    <w:qFormat/>
    <w:rsid w:val="00B17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735"/>
    <w:pPr>
      <w:spacing w:before="160"/>
      <w:jc w:val="center"/>
    </w:pPr>
    <w:rPr>
      <w:i/>
      <w:iCs/>
      <w:color w:val="404040" w:themeColor="text1" w:themeTint="BF"/>
    </w:rPr>
  </w:style>
  <w:style w:type="character" w:customStyle="1" w:styleId="QuoteChar">
    <w:name w:val="Quote Char"/>
    <w:basedOn w:val="DefaultParagraphFont"/>
    <w:link w:val="Quote"/>
    <w:uiPriority w:val="29"/>
    <w:rsid w:val="00B17735"/>
    <w:rPr>
      <w:i/>
      <w:iCs/>
      <w:color w:val="404040" w:themeColor="text1" w:themeTint="BF"/>
    </w:rPr>
  </w:style>
  <w:style w:type="paragraph" w:styleId="ListParagraph">
    <w:name w:val="List Paragraph"/>
    <w:basedOn w:val="Normal"/>
    <w:uiPriority w:val="34"/>
    <w:qFormat/>
    <w:rsid w:val="00B17735"/>
    <w:pPr>
      <w:ind w:left="720"/>
      <w:contextualSpacing/>
    </w:pPr>
  </w:style>
  <w:style w:type="character" w:styleId="IntenseEmphasis">
    <w:name w:val="Intense Emphasis"/>
    <w:basedOn w:val="DefaultParagraphFont"/>
    <w:uiPriority w:val="21"/>
    <w:qFormat/>
    <w:rsid w:val="00B17735"/>
    <w:rPr>
      <w:i/>
      <w:iCs/>
      <w:color w:val="0F4761" w:themeColor="accent1" w:themeShade="BF"/>
    </w:rPr>
  </w:style>
  <w:style w:type="paragraph" w:styleId="IntenseQuote">
    <w:name w:val="Intense Quote"/>
    <w:basedOn w:val="Normal"/>
    <w:next w:val="Normal"/>
    <w:link w:val="IntenseQuoteChar"/>
    <w:uiPriority w:val="30"/>
    <w:qFormat/>
    <w:rsid w:val="00B17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735"/>
    <w:rPr>
      <w:i/>
      <w:iCs/>
      <w:color w:val="0F4761" w:themeColor="accent1" w:themeShade="BF"/>
    </w:rPr>
  </w:style>
  <w:style w:type="character" w:styleId="IntenseReference">
    <w:name w:val="Intense Reference"/>
    <w:basedOn w:val="DefaultParagraphFont"/>
    <w:uiPriority w:val="32"/>
    <w:qFormat/>
    <w:rsid w:val="00B17735"/>
    <w:rPr>
      <w:b/>
      <w:bCs/>
      <w:smallCaps/>
      <w:color w:val="0F4761" w:themeColor="accent1" w:themeShade="BF"/>
      <w:spacing w:val="5"/>
    </w:rPr>
  </w:style>
  <w:style w:type="character" w:styleId="CommentReference">
    <w:name w:val="annotation reference"/>
    <w:basedOn w:val="DefaultParagraphFont"/>
    <w:uiPriority w:val="99"/>
    <w:semiHidden/>
    <w:unhideWhenUsed/>
    <w:rsid w:val="007B0887"/>
    <w:rPr>
      <w:sz w:val="16"/>
      <w:szCs w:val="16"/>
    </w:rPr>
  </w:style>
  <w:style w:type="paragraph" w:styleId="CommentText">
    <w:name w:val="annotation text"/>
    <w:basedOn w:val="Normal"/>
    <w:link w:val="CommentTextChar"/>
    <w:uiPriority w:val="99"/>
    <w:unhideWhenUsed/>
    <w:rsid w:val="007B0887"/>
    <w:pPr>
      <w:spacing w:line="240" w:lineRule="auto"/>
    </w:pPr>
    <w:rPr>
      <w:sz w:val="20"/>
      <w:szCs w:val="20"/>
    </w:rPr>
  </w:style>
  <w:style w:type="character" w:customStyle="1" w:styleId="CommentTextChar">
    <w:name w:val="Comment Text Char"/>
    <w:basedOn w:val="DefaultParagraphFont"/>
    <w:link w:val="CommentText"/>
    <w:uiPriority w:val="99"/>
    <w:rsid w:val="007B0887"/>
    <w:rPr>
      <w:sz w:val="20"/>
      <w:szCs w:val="20"/>
    </w:rPr>
  </w:style>
  <w:style w:type="paragraph" w:styleId="CommentSubject">
    <w:name w:val="annotation subject"/>
    <w:basedOn w:val="CommentText"/>
    <w:next w:val="CommentText"/>
    <w:link w:val="CommentSubjectChar"/>
    <w:uiPriority w:val="99"/>
    <w:semiHidden/>
    <w:unhideWhenUsed/>
    <w:rsid w:val="007B0887"/>
    <w:rPr>
      <w:b/>
      <w:bCs/>
    </w:rPr>
  </w:style>
  <w:style w:type="character" w:customStyle="1" w:styleId="CommentSubjectChar">
    <w:name w:val="Comment Subject Char"/>
    <w:basedOn w:val="CommentTextChar"/>
    <w:link w:val="CommentSubject"/>
    <w:uiPriority w:val="99"/>
    <w:semiHidden/>
    <w:rsid w:val="007B0887"/>
    <w:rPr>
      <w:b/>
      <w:bCs/>
      <w:sz w:val="20"/>
      <w:szCs w:val="20"/>
    </w:rPr>
  </w:style>
  <w:style w:type="paragraph" w:styleId="Revision">
    <w:name w:val="Revision"/>
    <w:hidden/>
    <w:uiPriority w:val="99"/>
    <w:semiHidden/>
    <w:rsid w:val="005A7195"/>
    <w:pPr>
      <w:spacing w:after="0" w:line="240" w:lineRule="auto"/>
    </w:pPr>
  </w:style>
  <w:style w:type="table" w:styleId="TableGrid">
    <w:name w:val="Table Grid"/>
    <w:basedOn w:val="TableNormal"/>
    <w:uiPriority w:val="39"/>
    <w:rsid w:val="00B0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B03BA"/>
    <w:rPr>
      <w:color w:val="2B579A"/>
      <w:shd w:val="clear" w:color="auto" w:fill="E1DFDD"/>
    </w:rPr>
  </w:style>
  <w:style w:type="character" w:styleId="Strong">
    <w:name w:val="Strong"/>
    <w:basedOn w:val="DefaultParagraphFont"/>
    <w:uiPriority w:val="22"/>
    <w:qFormat/>
    <w:rsid w:val="00496108"/>
    <w:rPr>
      <w:b/>
      <w:bCs/>
    </w:rPr>
  </w:style>
  <w:style w:type="character" w:styleId="Hyperlink">
    <w:name w:val="Hyperlink"/>
    <w:basedOn w:val="DefaultParagraphFont"/>
    <w:uiPriority w:val="99"/>
    <w:unhideWhenUsed/>
    <w:rsid w:val="00F76628"/>
    <w:rPr>
      <w:color w:val="467886" w:themeColor="hyperlink"/>
      <w:u w:val="single"/>
    </w:rPr>
  </w:style>
  <w:style w:type="character" w:styleId="UnresolvedMention">
    <w:name w:val="Unresolved Mention"/>
    <w:basedOn w:val="DefaultParagraphFont"/>
    <w:uiPriority w:val="99"/>
    <w:semiHidden/>
    <w:unhideWhenUsed/>
    <w:rsid w:val="00F76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331">
      <w:bodyDiv w:val="1"/>
      <w:marLeft w:val="0"/>
      <w:marRight w:val="0"/>
      <w:marTop w:val="0"/>
      <w:marBottom w:val="0"/>
      <w:divBdr>
        <w:top w:val="none" w:sz="0" w:space="0" w:color="auto"/>
        <w:left w:val="none" w:sz="0" w:space="0" w:color="auto"/>
        <w:bottom w:val="none" w:sz="0" w:space="0" w:color="auto"/>
        <w:right w:val="none" w:sz="0" w:space="0" w:color="auto"/>
      </w:divBdr>
    </w:div>
    <w:div w:id="91626783">
      <w:bodyDiv w:val="1"/>
      <w:marLeft w:val="0"/>
      <w:marRight w:val="0"/>
      <w:marTop w:val="0"/>
      <w:marBottom w:val="0"/>
      <w:divBdr>
        <w:top w:val="none" w:sz="0" w:space="0" w:color="auto"/>
        <w:left w:val="none" w:sz="0" w:space="0" w:color="auto"/>
        <w:bottom w:val="none" w:sz="0" w:space="0" w:color="auto"/>
        <w:right w:val="none" w:sz="0" w:space="0" w:color="auto"/>
      </w:divBdr>
    </w:div>
    <w:div w:id="324822152">
      <w:bodyDiv w:val="1"/>
      <w:marLeft w:val="0"/>
      <w:marRight w:val="0"/>
      <w:marTop w:val="0"/>
      <w:marBottom w:val="0"/>
      <w:divBdr>
        <w:top w:val="none" w:sz="0" w:space="0" w:color="auto"/>
        <w:left w:val="none" w:sz="0" w:space="0" w:color="auto"/>
        <w:bottom w:val="none" w:sz="0" w:space="0" w:color="auto"/>
        <w:right w:val="none" w:sz="0" w:space="0" w:color="auto"/>
      </w:divBdr>
    </w:div>
    <w:div w:id="347412769">
      <w:bodyDiv w:val="1"/>
      <w:marLeft w:val="0"/>
      <w:marRight w:val="0"/>
      <w:marTop w:val="0"/>
      <w:marBottom w:val="0"/>
      <w:divBdr>
        <w:top w:val="none" w:sz="0" w:space="0" w:color="auto"/>
        <w:left w:val="none" w:sz="0" w:space="0" w:color="auto"/>
        <w:bottom w:val="none" w:sz="0" w:space="0" w:color="auto"/>
        <w:right w:val="none" w:sz="0" w:space="0" w:color="auto"/>
      </w:divBdr>
    </w:div>
    <w:div w:id="610168924">
      <w:bodyDiv w:val="1"/>
      <w:marLeft w:val="0"/>
      <w:marRight w:val="0"/>
      <w:marTop w:val="0"/>
      <w:marBottom w:val="0"/>
      <w:divBdr>
        <w:top w:val="none" w:sz="0" w:space="0" w:color="auto"/>
        <w:left w:val="none" w:sz="0" w:space="0" w:color="auto"/>
        <w:bottom w:val="none" w:sz="0" w:space="0" w:color="auto"/>
        <w:right w:val="none" w:sz="0" w:space="0" w:color="auto"/>
      </w:divBdr>
    </w:div>
    <w:div w:id="703675364">
      <w:bodyDiv w:val="1"/>
      <w:marLeft w:val="0"/>
      <w:marRight w:val="0"/>
      <w:marTop w:val="0"/>
      <w:marBottom w:val="0"/>
      <w:divBdr>
        <w:top w:val="none" w:sz="0" w:space="0" w:color="auto"/>
        <w:left w:val="none" w:sz="0" w:space="0" w:color="auto"/>
        <w:bottom w:val="none" w:sz="0" w:space="0" w:color="auto"/>
        <w:right w:val="none" w:sz="0" w:space="0" w:color="auto"/>
      </w:divBdr>
      <w:divsChild>
        <w:div w:id="181483422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739444089">
      <w:bodyDiv w:val="1"/>
      <w:marLeft w:val="0"/>
      <w:marRight w:val="0"/>
      <w:marTop w:val="0"/>
      <w:marBottom w:val="0"/>
      <w:divBdr>
        <w:top w:val="none" w:sz="0" w:space="0" w:color="auto"/>
        <w:left w:val="none" w:sz="0" w:space="0" w:color="auto"/>
        <w:bottom w:val="none" w:sz="0" w:space="0" w:color="auto"/>
        <w:right w:val="none" w:sz="0" w:space="0" w:color="auto"/>
      </w:divBdr>
    </w:div>
    <w:div w:id="740251303">
      <w:bodyDiv w:val="1"/>
      <w:marLeft w:val="0"/>
      <w:marRight w:val="0"/>
      <w:marTop w:val="0"/>
      <w:marBottom w:val="0"/>
      <w:divBdr>
        <w:top w:val="none" w:sz="0" w:space="0" w:color="auto"/>
        <w:left w:val="none" w:sz="0" w:space="0" w:color="auto"/>
        <w:bottom w:val="none" w:sz="0" w:space="0" w:color="auto"/>
        <w:right w:val="none" w:sz="0" w:space="0" w:color="auto"/>
      </w:divBdr>
    </w:div>
    <w:div w:id="969867832">
      <w:bodyDiv w:val="1"/>
      <w:marLeft w:val="0"/>
      <w:marRight w:val="0"/>
      <w:marTop w:val="0"/>
      <w:marBottom w:val="0"/>
      <w:divBdr>
        <w:top w:val="none" w:sz="0" w:space="0" w:color="auto"/>
        <w:left w:val="none" w:sz="0" w:space="0" w:color="auto"/>
        <w:bottom w:val="none" w:sz="0" w:space="0" w:color="auto"/>
        <w:right w:val="none" w:sz="0" w:space="0" w:color="auto"/>
      </w:divBdr>
    </w:div>
    <w:div w:id="1159426738">
      <w:bodyDiv w:val="1"/>
      <w:marLeft w:val="0"/>
      <w:marRight w:val="0"/>
      <w:marTop w:val="0"/>
      <w:marBottom w:val="0"/>
      <w:divBdr>
        <w:top w:val="none" w:sz="0" w:space="0" w:color="auto"/>
        <w:left w:val="none" w:sz="0" w:space="0" w:color="auto"/>
        <w:bottom w:val="none" w:sz="0" w:space="0" w:color="auto"/>
        <w:right w:val="none" w:sz="0" w:space="0" w:color="auto"/>
      </w:divBdr>
      <w:divsChild>
        <w:div w:id="200916583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323315647">
      <w:bodyDiv w:val="1"/>
      <w:marLeft w:val="0"/>
      <w:marRight w:val="0"/>
      <w:marTop w:val="0"/>
      <w:marBottom w:val="0"/>
      <w:divBdr>
        <w:top w:val="none" w:sz="0" w:space="0" w:color="auto"/>
        <w:left w:val="none" w:sz="0" w:space="0" w:color="auto"/>
        <w:bottom w:val="none" w:sz="0" w:space="0" w:color="auto"/>
        <w:right w:val="none" w:sz="0" w:space="0" w:color="auto"/>
      </w:divBdr>
    </w:div>
    <w:div w:id="1333294980">
      <w:bodyDiv w:val="1"/>
      <w:marLeft w:val="0"/>
      <w:marRight w:val="0"/>
      <w:marTop w:val="0"/>
      <w:marBottom w:val="0"/>
      <w:divBdr>
        <w:top w:val="none" w:sz="0" w:space="0" w:color="auto"/>
        <w:left w:val="none" w:sz="0" w:space="0" w:color="auto"/>
        <w:bottom w:val="none" w:sz="0" w:space="0" w:color="auto"/>
        <w:right w:val="none" w:sz="0" w:space="0" w:color="auto"/>
      </w:divBdr>
    </w:div>
    <w:div w:id="1621838507">
      <w:bodyDiv w:val="1"/>
      <w:marLeft w:val="0"/>
      <w:marRight w:val="0"/>
      <w:marTop w:val="0"/>
      <w:marBottom w:val="0"/>
      <w:divBdr>
        <w:top w:val="none" w:sz="0" w:space="0" w:color="auto"/>
        <w:left w:val="none" w:sz="0" w:space="0" w:color="auto"/>
        <w:bottom w:val="none" w:sz="0" w:space="0" w:color="auto"/>
        <w:right w:val="none" w:sz="0" w:space="0" w:color="auto"/>
      </w:divBdr>
    </w:div>
    <w:div w:id="1780447058">
      <w:bodyDiv w:val="1"/>
      <w:marLeft w:val="0"/>
      <w:marRight w:val="0"/>
      <w:marTop w:val="0"/>
      <w:marBottom w:val="0"/>
      <w:divBdr>
        <w:top w:val="none" w:sz="0" w:space="0" w:color="auto"/>
        <w:left w:val="none" w:sz="0" w:space="0" w:color="auto"/>
        <w:bottom w:val="none" w:sz="0" w:space="0" w:color="auto"/>
        <w:right w:val="none" w:sz="0" w:space="0" w:color="auto"/>
      </w:divBdr>
    </w:div>
    <w:div w:id="1826048197">
      <w:bodyDiv w:val="1"/>
      <w:marLeft w:val="0"/>
      <w:marRight w:val="0"/>
      <w:marTop w:val="0"/>
      <w:marBottom w:val="0"/>
      <w:divBdr>
        <w:top w:val="none" w:sz="0" w:space="0" w:color="auto"/>
        <w:left w:val="none" w:sz="0" w:space="0" w:color="auto"/>
        <w:bottom w:val="none" w:sz="0" w:space="0" w:color="auto"/>
        <w:right w:val="none" w:sz="0" w:space="0" w:color="auto"/>
      </w:divBdr>
    </w:div>
    <w:div w:id="1871600167">
      <w:bodyDiv w:val="1"/>
      <w:marLeft w:val="0"/>
      <w:marRight w:val="0"/>
      <w:marTop w:val="0"/>
      <w:marBottom w:val="0"/>
      <w:divBdr>
        <w:top w:val="none" w:sz="0" w:space="0" w:color="auto"/>
        <w:left w:val="none" w:sz="0" w:space="0" w:color="auto"/>
        <w:bottom w:val="none" w:sz="0" w:space="0" w:color="auto"/>
        <w:right w:val="none" w:sz="0" w:space="0" w:color="auto"/>
      </w:divBdr>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
    <w:div w:id="195632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forms.office.com/r/zM0bGMxr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600EFD492CE41856B5ACBFF785FA1" ma:contentTypeVersion="15" ma:contentTypeDescription="Create a new document." ma:contentTypeScope="" ma:versionID="5e686cc11d3cce6ebe596a028fb632c9">
  <xsd:schema xmlns:xsd="http://www.w3.org/2001/XMLSchema" xmlns:xs="http://www.w3.org/2001/XMLSchema" xmlns:p="http://schemas.microsoft.com/office/2006/metadata/properties" xmlns:ns1="http://schemas.microsoft.com/sharepoint/v3" xmlns:ns2="24339891-cb13-4daa-8553-bc10199b835b" xmlns:ns3="66836e27-a186-4fd4-995c-dd8d5d9ddfc6" targetNamespace="http://schemas.microsoft.com/office/2006/metadata/properties" ma:root="true" ma:fieldsID="93f32fbb6785d246f8775b982b509884" ns1:_="" ns2:_="" ns3:_="">
    <xsd:import namespace="http://schemas.microsoft.com/sharepoint/v3"/>
    <xsd:import namespace="24339891-cb13-4daa-8553-bc10199b835b"/>
    <xsd:import namespace="66836e27-a186-4fd4-995c-dd8d5d9ddf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39891-cb13-4daa-8553-bc10199b8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836e27-a186-4fd4-995c-dd8d5d9ddf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194624-2576-4df5-a543-fb394c1a167d}" ma:internalName="TaxCatchAll" ma:showField="CatchAllData" ma:web="66836e27-a186-4fd4-995c-dd8d5d9dd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4339891-cb13-4daa-8553-bc10199b835b">
      <Terms xmlns="http://schemas.microsoft.com/office/infopath/2007/PartnerControls"/>
    </lcf76f155ced4ddcb4097134ff3c332f>
    <TaxCatchAll xmlns="66836e27-a186-4fd4-995c-dd8d5d9ddf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AA2D2-0702-47CF-8326-67AE7D306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339891-cb13-4daa-8553-bc10199b835b"/>
    <ds:schemaRef ds:uri="66836e27-a186-4fd4-995c-dd8d5d9dd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2C34D-5DD1-4DD3-8851-C73949BF0A61}">
  <ds:schemaRefs>
    <ds:schemaRef ds:uri="http://schemas.openxmlformats.org/officeDocument/2006/bibliography"/>
  </ds:schemaRefs>
</ds:datastoreItem>
</file>

<file path=customXml/itemProps3.xml><?xml version="1.0" encoding="utf-8"?>
<ds:datastoreItem xmlns:ds="http://schemas.openxmlformats.org/officeDocument/2006/customXml" ds:itemID="{1A062011-F5FE-4286-B044-4DC337276689}">
  <ds:schemaRefs>
    <ds:schemaRef ds:uri="http://schemas.microsoft.com/office/2006/metadata/properties"/>
    <ds:schemaRef ds:uri="http://schemas.microsoft.com/office/infopath/2007/PartnerControls"/>
    <ds:schemaRef ds:uri="http://schemas.microsoft.com/sharepoint/v3"/>
    <ds:schemaRef ds:uri="24339891-cb13-4daa-8553-bc10199b835b"/>
    <ds:schemaRef ds:uri="66836e27-a186-4fd4-995c-dd8d5d9ddfc6"/>
  </ds:schemaRefs>
</ds:datastoreItem>
</file>

<file path=customXml/itemProps4.xml><?xml version="1.0" encoding="utf-8"?>
<ds:datastoreItem xmlns:ds="http://schemas.openxmlformats.org/officeDocument/2006/customXml" ds:itemID="{0F2A007D-3670-4A0B-99AD-6F2A1A661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6</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Bend</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Lacy</dc:creator>
  <cp:keywords/>
  <dc:description/>
  <cp:lastModifiedBy>Megan Lee</cp:lastModifiedBy>
  <cp:revision>18</cp:revision>
  <cp:lastPrinted>2025-06-24T18:44:00Z</cp:lastPrinted>
  <dcterms:created xsi:type="dcterms:W3CDTF">2025-06-12T01:49:00Z</dcterms:created>
  <dcterms:modified xsi:type="dcterms:W3CDTF">2025-07-01T19:40:00Z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0x0101003D9600EFD492CE41856B5ACBFF785FA1</vt:lpwstr>
  </property>
  <property fmtid="{D5CDD505-2E9C-101B-9397-08002B2CF9AE}" pid="3" name="MediaServiceImageTags">
    <vt:lpwstr/>
  </property>
</Properties>
</file>