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CDE" w:rsidRDefault="00F02CDE" w:rsidP="00F02CDE">
      <w:pPr>
        <w:pStyle w:val="Default"/>
      </w:pPr>
    </w:p>
    <w:p w:rsidR="00F02CDE" w:rsidRPr="00F02CDE" w:rsidRDefault="00F02CDE" w:rsidP="00F02CDE">
      <w:pPr>
        <w:pStyle w:val="Pa1"/>
        <w:rPr>
          <w:rFonts w:cs="Tw Cen MT"/>
          <w:color w:val="E05E2A"/>
          <w:sz w:val="48"/>
          <w:szCs w:val="48"/>
        </w:rPr>
      </w:pPr>
      <w:r w:rsidRPr="00F02CDE">
        <w:rPr>
          <w:rFonts w:cs="Tw Cen MT"/>
          <w:b/>
          <w:bCs/>
          <w:color w:val="E05E2A"/>
          <w:sz w:val="48"/>
          <w:szCs w:val="48"/>
        </w:rPr>
        <w:t xml:space="preserve">BEND COLLABORATIVE HOUSING WORKGROUP </w:t>
      </w:r>
    </w:p>
    <w:p w:rsidR="00F02CDE" w:rsidRPr="00F02CDE" w:rsidRDefault="00F02CDE" w:rsidP="00F02CDE">
      <w:pPr>
        <w:pStyle w:val="Pa1"/>
        <w:rPr>
          <w:rFonts w:cs="Tw Cen MT"/>
          <w:color w:val="E05E2A"/>
          <w:sz w:val="36"/>
          <w:szCs w:val="36"/>
        </w:rPr>
      </w:pPr>
      <w:r w:rsidRPr="00F02CDE">
        <w:rPr>
          <w:rStyle w:val="A3"/>
          <w:sz w:val="36"/>
          <w:szCs w:val="36"/>
        </w:rPr>
        <w:t xml:space="preserve">MIDDLE MARKET HOUSING POLICY RECOMMENDATIONS </w:t>
      </w:r>
    </w:p>
    <w:p w:rsidR="00D61D3A" w:rsidRPr="00F02CDE" w:rsidRDefault="00F02CDE" w:rsidP="00F02CDE">
      <w:pPr>
        <w:rPr>
          <w:rFonts w:ascii="Arial" w:hAnsi="Arial" w:cs="Arial"/>
          <w:b/>
          <w:sz w:val="36"/>
          <w:szCs w:val="36"/>
        </w:rPr>
      </w:pPr>
      <w:r w:rsidRPr="00F02CDE">
        <w:rPr>
          <w:rStyle w:val="A3"/>
          <w:sz w:val="36"/>
          <w:szCs w:val="36"/>
        </w:rPr>
        <w:t>JULY 2017</w:t>
      </w:r>
    </w:p>
    <w:p w:rsidR="00F02CDE" w:rsidRDefault="00F02CDE" w:rsidP="004F706D">
      <w:pPr>
        <w:pStyle w:val="Pa1"/>
        <w:rPr>
          <w:rFonts w:cs="Tw Cen MT"/>
          <w:b/>
          <w:bCs/>
          <w:color w:val="E05E2A"/>
          <w:sz w:val="36"/>
          <w:szCs w:val="36"/>
        </w:rPr>
      </w:pPr>
    </w:p>
    <w:p w:rsidR="004F706D" w:rsidRPr="004F706D" w:rsidRDefault="004F706D" w:rsidP="004F706D">
      <w:pPr>
        <w:pStyle w:val="Pa1"/>
        <w:rPr>
          <w:rFonts w:cs="Tw Cen MT"/>
          <w:color w:val="E05E2A"/>
          <w:sz w:val="36"/>
          <w:szCs w:val="36"/>
        </w:rPr>
      </w:pPr>
      <w:r w:rsidRPr="004F706D">
        <w:rPr>
          <w:rFonts w:cs="Tw Cen MT"/>
          <w:b/>
          <w:bCs/>
          <w:color w:val="E05E2A"/>
          <w:sz w:val="36"/>
          <w:szCs w:val="36"/>
        </w:rPr>
        <w:t xml:space="preserve">TOOL 1: Align Comprehensive Plan and Zoning Map </w:t>
      </w:r>
    </w:p>
    <w:p w:rsidR="004F706D" w:rsidRDefault="004F706D" w:rsidP="004F706D">
      <w:pPr>
        <w:pStyle w:val="Pa5"/>
        <w:spacing w:before="80" w:after="80"/>
        <w:rPr>
          <w:rFonts w:cs="Tw Cen MT"/>
          <w:color w:val="57585A"/>
          <w:sz w:val="28"/>
          <w:szCs w:val="28"/>
        </w:rPr>
      </w:pPr>
      <w:r>
        <w:rPr>
          <w:rFonts w:cs="Tw Cen MT"/>
          <w:b/>
          <w:bCs/>
          <w:color w:val="57585A"/>
          <w:sz w:val="28"/>
          <w:szCs w:val="28"/>
        </w:rPr>
        <w:t xml:space="preserve">Recommendation </w:t>
      </w:r>
    </w:p>
    <w:p w:rsidR="004F706D" w:rsidRDefault="004F706D" w:rsidP="004F706D">
      <w:pPr>
        <w:rPr>
          <w:rFonts w:cs="Tw Cen MT"/>
          <w:color w:val="57585A"/>
        </w:rPr>
      </w:pPr>
      <w:r>
        <w:rPr>
          <w:rFonts w:cs="Tw Cen MT"/>
          <w:color w:val="57585A"/>
        </w:rPr>
        <w:t xml:space="preserve">Prioritize bringing the current zoning map and the new comprehensive plan map into alignment, rezoning areas as planned, </w:t>
      </w:r>
      <w:proofErr w:type="gramStart"/>
      <w:r>
        <w:rPr>
          <w:rFonts w:cs="Tw Cen MT"/>
          <w:color w:val="57585A"/>
        </w:rPr>
        <w:t>reducing</w:t>
      </w:r>
      <w:proofErr w:type="gramEnd"/>
      <w:r>
        <w:rPr>
          <w:rFonts w:cs="Tw Cen MT"/>
          <w:color w:val="57585A"/>
        </w:rPr>
        <w:t xml:space="preserve"> developers’ costs for initiating new projects and allowing more housing supply to be created in the near-term.</w:t>
      </w:r>
    </w:p>
    <w:p w:rsidR="004F706D" w:rsidRDefault="004F706D" w:rsidP="004F706D">
      <w:pPr>
        <w:rPr>
          <w:rFonts w:cs="Tw Cen MT"/>
          <w:color w:val="57585A"/>
        </w:rPr>
      </w:pPr>
    </w:p>
    <w:p w:rsidR="004F706D" w:rsidRPr="004F706D" w:rsidRDefault="004F706D" w:rsidP="004F706D">
      <w:pPr>
        <w:pStyle w:val="Pa1"/>
        <w:rPr>
          <w:rFonts w:cs="Tw Cen MT"/>
          <w:color w:val="E05E2A"/>
          <w:sz w:val="36"/>
          <w:szCs w:val="36"/>
        </w:rPr>
      </w:pPr>
      <w:r w:rsidRPr="004F706D">
        <w:rPr>
          <w:rFonts w:cs="Tw Cen MT"/>
          <w:b/>
          <w:bCs/>
          <w:color w:val="E05E2A"/>
          <w:sz w:val="36"/>
          <w:szCs w:val="36"/>
        </w:rPr>
        <w:t xml:space="preserve">TOOL 2: Create mixed-use urban transportation corridors </w:t>
      </w:r>
    </w:p>
    <w:p w:rsidR="004F706D" w:rsidRDefault="004F706D" w:rsidP="004F706D">
      <w:pPr>
        <w:pStyle w:val="Pa5"/>
        <w:spacing w:before="80" w:after="80"/>
        <w:rPr>
          <w:rFonts w:cs="Tw Cen MT"/>
          <w:color w:val="57585A"/>
          <w:sz w:val="28"/>
          <w:szCs w:val="28"/>
        </w:rPr>
      </w:pPr>
      <w:r>
        <w:rPr>
          <w:rFonts w:cs="Tw Cen MT"/>
          <w:b/>
          <w:bCs/>
          <w:color w:val="57585A"/>
          <w:sz w:val="28"/>
          <w:szCs w:val="28"/>
        </w:rPr>
        <w:t xml:space="preserve">Recommendation </w:t>
      </w:r>
    </w:p>
    <w:p w:rsidR="004F706D" w:rsidRDefault="004F706D" w:rsidP="004F706D">
      <w:pPr>
        <w:rPr>
          <w:rFonts w:cs="Tw Cen MT"/>
          <w:color w:val="57585A"/>
        </w:rPr>
      </w:pPr>
      <w:r>
        <w:rPr>
          <w:rFonts w:cs="Tw Cen MT"/>
          <w:color w:val="57585A"/>
        </w:rPr>
        <w:t>Create a network of streets throughout the city that are zoned as mixed-urban that create transitional corridors around higher density arterials and generate more housing in the near term.</w:t>
      </w:r>
    </w:p>
    <w:p w:rsidR="004F706D" w:rsidRDefault="004F706D" w:rsidP="004F706D">
      <w:pPr>
        <w:rPr>
          <w:rFonts w:cs="Tw Cen MT"/>
          <w:color w:val="57585A"/>
        </w:rPr>
      </w:pPr>
    </w:p>
    <w:p w:rsidR="004F706D" w:rsidRPr="004F706D" w:rsidRDefault="004F706D" w:rsidP="004F706D">
      <w:pPr>
        <w:pStyle w:val="Pa1"/>
        <w:rPr>
          <w:rFonts w:cs="Tw Cen MT"/>
          <w:color w:val="E05E2A"/>
          <w:sz w:val="36"/>
          <w:szCs w:val="36"/>
        </w:rPr>
      </w:pPr>
      <w:r w:rsidRPr="004F706D">
        <w:rPr>
          <w:rFonts w:cs="Tw Cen MT"/>
          <w:b/>
          <w:bCs/>
          <w:color w:val="E05E2A"/>
          <w:sz w:val="36"/>
          <w:szCs w:val="36"/>
        </w:rPr>
        <w:t xml:space="preserve">TOOL 3: Incentivize Area Planning </w:t>
      </w:r>
    </w:p>
    <w:p w:rsidR="004F706D" w:rsidRDefault="004F706D" w:rsidP="004F706D">
      <w:pPr>
        <w:pStyle w:val="Pa5"/>
        <w:spacing w:before="80" w:after="80"/>
        <w:rPr>
          <w:rFonts w:cs="Tw Cen MT"/>
          <w:color w:val="57585A"/>
          <w:sz w:val="28"/>
          <w:szCs w:val="28"/>
        </w:rPr>
      </w:pPr>
      <w:r>
        <w:rPr>
          <w:rFonts w:cs="Tw Cen MT"/>
          <w:b/>
          <w:bCs/>
          <w:color w:val="57585A"/>
          <w:sz w:val="28"/>
          <w:szCs w:val="28"/>
        </w:rPr>
        <w:t xml:space="preserve">Recommendation </w:t>
      </w:r>
    </w:p>
    <w:p w:rsidR="004F706D" w:rsidRDefault="004F706D" w:rsidP="004F706D">
      <w:pPr>
        <w:rPr>
          <w:rFonts w:cs="Tw Cen MT"/>
          <w:color w:val="57585A"/>
        </w:rPr>
      </w:pPr>
      <w:r>
        <w:rPr>
          <w:rFonts w:cs="Tw Cen MT"/>
          <w:color w:val="57585A"/>
        </w:rPr>
        <w:t>Offer higher priority of staff time and resources for planning/annexation to expansion areas where landowners propose plans to provide meaningful amounts of affordable and middle market housing stock.</w:t>
      </w:r>
    </w:p>
    <w:p w:rsidR="004F706D" w:rsidRDefault="004F706D" w:rsidP="004F706D">
      <w:pPr>
        <w:rPr>
          <w:rFonts w:cs="Tw Cen MT"/>
          <w:color w:val="57585A"/>
        </w:rPr>
      </w:pPr>
    </w:p>
    <w:p w:rsidR="004F706D" w:rsidRPr="004F706D" w:rsidRDefault="004F706D" w:rsidP="004F706D">
      <w:pPr>
        <w:pStyle w:val="Pa1"/>
        <w:rPr>
          <w:rFonts w:cs="Tw Cen MT"/>
          <w:color w:val="E05E2A"/>
          <w:sz w:val="36"/>
          <w:szCs w:val="36"/>
        </w:rPr>
      </w:pPr>
      <w:r w:rsidRPr="004F706D">
        <w:rPr>
          <w:rFonts w:cs="Tw Cen MT"/>
          <w:b/>
          <w:bCs/>
          <w:color w:val="E05E2A"/>
          <w:sz w:val="36"/>
          <w:szCs w:val="36"/>
        </w:rPr>
        <w:t xml:space="preserve">TOOL 4: Prioritize transportation spending that leads to middle housing </w:t>
      </w:r>
    </w:p>
    <w:p w:rsidR="004F706D" w:rsidRDefault="004F706D" w:rsidP="004F706D">
      <w:pPr>
        <w:pStyle w:val="Pa5"/>
        <w:spacing w:before="80" w:after="80"/>
        <w:rPr>
          <w:rFonts w:cs="Tw Cen MT"/>
          <w:color w:val="57585A"/>
          <w:sz w:val="28"/>
          <w:szCs w:val="28"/>
        </w:rPr>
      </w:pPr>
      <w:r>
        <w:rPr>
          <w:rFonts w:cs="Tw Cen MT"/>
          <w:b/>
          <w:bCs/>
          <w:color w:val="57585A"/>
          <w:sz w:val="28"/>
          <w:szCs w:val="28"/>
        </w:rPr>
        <w:t xml:space="preserve">Recommendation </w:t>
      </w:r>
    </w:p>
    <w:p w:rsidR="004F706D" w:rsidRDefault="004F706D" w:rsidP="004F706D">
      <w:pPr>
        <w:rPr>
          <w:rFonts w:cs="Tw Cen MT"/>
          <w:color w:val="57585A"/>
        </w:rPr>
      </w:pPr>
      <w:r>
        <w:rPr>
          <w:rFonts w:cs="Tw Cen MT"/>
          <w:color w:val="57585A"/>
        </w:rPr>
        <w:t>When evaluating transportation spending, provide greater weight to options that lead to the creation of middle market housing. For instance, in a weighted ranking exercise, increase the value of housing creation so it becomes a higher priority outcome.</w:t>
      </w:r>
    </w:p>
    <w:p w:rsidR="004F706D" w:rsidRDefault="004F706D" w:rsidP="004F706D">
      <w:pPr>
        <w:rPr>
          <w:rFonts w:cs="Tw Cen MT"/>
          <w:color w:val="57585A"/>
        </w:rPr>
      </w:pPr>
    </w:p>
    <w:p w:rsidR="004F706D" w:rsidRPr="004F706D" w:rsidRDefault="004F706D" w:rsidP="004F706D">
      <w:pPr>
        <w:pStyle w:val="Pa1"/>
        <w:rPr>
          <w:rFonts w:cs="Tw Cen MT"/>
          <w:color w:val="E05E2A"/>
          <w:sz w:val="36"/>
          <w:szCs w:val="36"/>
        </w:rPr>
      </w:pPr>
      <w:r w:rsidRPr="004F706D">
        <w:rPr>
          <w:rFonts w:cs="Tw Cen MT"/>
          <w:b/>
          <w:bCs/>
          <w:color w:val="E05E2A"/>
          <w:sz w:val="36"/>
          <w:szCs w:val="36"/>
        </w:rPr>
        <w:t xml:space="preserve">TOOL 5: Rework system development charge policies </w:t>
      </w:r>
    </w:p>
    <w:p w:rsidR="004F706D" w:rsidRDefault="004F706D" w:rsidP="004F706D">
      <w:pPr>
        <w:pStyle w:val="Pa5"/>
        <w:spacing w:before="80" w:after="80"/>
        <w:rPr>
          <w:rFonts w:cs="Tw Cen MT"/>
          <w:color w:val="57585A"/>
          <w:sz w:val="28"/>
          <w:szCs w:val="28"/>
        </w:rPr>
      </w:pPr>
      <w:r>
        <w:rPr>
          <w:rFonts w:cs="Tw Cen MT"/>
          <w:b/>
          <w:bCs/>
          <w:color w:val="57585A"/>
          <w:sz w:val="28"/>
          <w:szCs w:val="28"/>
        </w:rPr>
        <w:t xml:space="preserve">Recommendation </w:t>
      </w:r>
    </w:p>
    <w:p w:rsidR="004F706D" w:rsidRDefault="004F706D" w:rsidP="004F706D">
      <w:pPr>
        <w:pStyle w:val="Pa13"/>
        <w:spacing w:after="80"/>
        <w:rPr>
          <w:rFonts w:cs="Tw Cen MT"/>
          <w:color w:val="57585A"/>
          <w:sz w:val="20"/>
          <w:szCs w:val="20"/>
        </w:rPr>
      </w:pPr>
      <w:r>
        <w:rPr>
          <w:rFonts w:cs="Tw Cen MT"/>
          <w:color w:val="57585A"/>
          <w:sz w:val="20"/>
          <w:szCs w:val="20"/>
        </w:rPr>
        <w:t xml:space="preserve">Two changes should be considered to the City’s system development charges methodology and policies. </w:t>
      </w:r>
    </w:p>
    <w:p w:rsidR="004F706D" w:rsidRDefault="004F706D" w:rsidP="004F706D">
      <w:pPr>
        <w:pStyle w:val="Pa17"/>
        <w:spacing w:after="80"/>
        <w:ind w:left="360" w:hanging="360"/>
        <w:rPr>
          <w:rFonts w:cs="Tw Cen MT"/>
          <w:color w:val="57585A"/>
          <w:sz w:val="20"/>
          <w:szCs w:val="20"/>
        </w:rPr>
      </w:pPr>
      <w:r>
        <w:rPr>
          <w:rStyle w:val="A8"/>
        </w:rPr>
        <w:t xml:space="preserve">1. </w:t>
      </w:r>
      <w:r>
        <w:rPr>
          <w:rFonts w:cs="Tw Cen MT"/>
          <w:color w:val="57585A"/>
          <w:sz w:val="20"/>
          <w:szCs w:val="20"/>
        </w:rPr>
        <w:t xml:space="preserve">Defer SDCs or offer long-term loans for single-family homes provided in the 125% AMI (Area Median Income) level or below, </w:t>
      </w:r>
    </w:p>
    <w:p w:rsidR="004F706D" w:rsidRDefault="004F706D" w:rsidP="004F706D">
      <w:pPr>
        <w:rPr>
          <w:rFonts w:cs="Tw Cen MT"/>
          <w:color w:val="57585A"/>
          <w:sz w:val="20"/>
          <w:szCs w:val="20"/>
        </w:rPr>
      </w:pPr>
      <w:r>
        <w:rPr>
          <w:rStyle w:val="A8"/>
        </w:rPr>
        <w:t xml:space="preserve">2. </w:t>
      </w:r>
      <w:r>
        <w:rPr>
          <w:rFonts w:cs="Tw Cen MT"/>
          <w:color w:val="57585A"/>
          <w:sz w:val="20"/>
          <w:szCs w:val="20"/>
        </w:rPr>
        <w:t>Offer tiered SDCs based on lot size, square-footage or number of bedrooms—with smaller homes paying lower charges—creating a true incentive to build smaller units and increase housing supply.</w:t>
      </w:r>
    </w:p>
    <w:p w:rsidR="004F706D" w:rsidRDefault="004F706D" w:rsidP="004F706D">
      <w:pPr>
        <w:rPr>
          <w:rFonts w:cs="Tw Cen MT"/>
          <w:color w:val="57585A"/>
          <w:sz w:val="20"/>
          <w:szCs w:val="20"/>
        </w:rPr>
      </w:pPr>
    </w:p>
    <w:p w:rsidR="004F706D" w:rsidRPr="004F706D" w:rsidRDefault="004F706D" w:rsidP="004F706D">
      <w:pPr>
        <w:pStyle w:val="Pa1"/>
        <w:rPr>
          <w:rFonts w:cs="Tw Cen MT"/>
          <w:color w:val="E05E2A"/>
          <w:sz w:val="36"/>
          <w:szCs w:val="36"/>
        </w:rPr>
      </w:pPr>
      <w:r w:rsidRPr="004F706D">
        <w:rPr>
          <w:rFonts w:cs="Tw Cen MT"/>
          <w:b/>
          <w:bCs/>
          <w:color w:val="E05E2A"/>
          <w:sz w:val="36"/>
          <w:szCs w:val="36"/>
        </w:rPr>
        <w:t xml:space="preserve">TOOL 6: Allow parking districts and reduce parking requirements </w:t>
      </w:r>
    </w:p>
    <w:p w:rsidR="004F706D" w:rsidRDefault="004F706D" w:rsidP="004F706D">
      <w:pPr>
        <w:pStyle w:val="Pa5"/>
        <w:spacing w:before="80" w:after="80"/>
        <w:rPr>
          <w:rFonts w:cs="Tw Cen MT"/>
          <w:color w:val="57585A"/>
          <w:sz w:val="28"/>
          <w:szCs w:val="28"/>
        </w:rPr>
      </w:pPr>
      <w:r>
        <w:rPr>
          <w:rFonts w:cs="Tw Cen MT"/>
          <w:b/>
          <w:bCs/>
          <w:color w:val="57585A"/>
          <w:sz w:val="28"/>
          <w:szCs w:val="28"/>
        </w:rPr>
        <w:t xml:space="preserve">Recommendation </w:t>
      </w:r>
    </w:p>
    <w:p w:rsidR="004F706D" w:rsidRDefault="004F706D" w:rsidP="004F706D">
      <w:pPr>
        <w:rPr>
          <w:rFonts w:cs="Tw Cen MT"/>
          <w:color w:val="57585A"/>
          <w:sz w:val="20"/>
          <w:szCs w:val="20"/>
        </w:rPr>
      </w:pPr>
      <w:r>
        <w:rPr>
          <w:rFonts w:cs="Tw Cen MT"/>
          <w:color w:val="57585A"/>
          <w:sz w:val="20"/>
          <w:szCs w:val="20"/>
        </w:rPr>
        <w:t>Allow parking districts and opt-in reductions of parking requirements as an incentive for certain infill units such as Accessory Dwelling Units (ADUs) or multiplexes to lower housing production costs and increase development feasibility.</w:t>
      </w:r>
    </w:p>
    <w:p w:rsidR="004F706D" w:rsidRDefault="004F706D" w:rsidP="004F706D">
      <w:pPr>
        <w:rPr>
          <w:rFonts w:cs="Tw Cen MT"/>
          <w:color w:val="57585A"/>
          <w:sz w:val="20"/>
          <w:szCs w:val="20"/>
        </w:rPr>
      </w:pPr>
    </w:p>
    <w:p w:rsidR="004F706D" w:rsidRPr="004F706D" w:rsidRDefault="004F706D" w:rsidP="004F706D">
      <w:pPr>
        <w:pStyle w:val="Pa1"/>
        <w:rPr>
          <w:rFonts w:cs="Tw Cen MT"/>
          <w:color w:val="E05E2A"/>
          <w:sz w:val="36"/>
          <w:szCs w:val="36"/>
        </w:rPr>
      </w:pPr>
      <w:r w:rsidRPr="004F706D">
        <w:rPr>
          <w:rFonts w:cs="Tw Cen MT"/>
          <w:b/>
          <w:bCs/>
          <w:color w:val="E05E2A"/>
          <w:sz w:val="36"/>
          <w:szCs w:val="36"/>
        </w:rPr>
        <w:lastRenderedPageBreak/>
        <w:t xml:space="preserve">TOOL 7: Allow vertical housing tax exemption </w:t>
      </w:r>
    </w:p>
    <w:p w:rsidR="004F706D" w:rsidRDefault="004F706D" w:rsidP="004F706D">
      <w:pPr>
        <w:pStyle w:val="Pa5"/>
        <w:spacing w:before="80" w:after="80"/>
        <w:rPr>
          <w:rFonts w:cs="Tw Cen MT"/>
          <w:color w:val="57585A"/>
          <w:sz w:val="28"/>
          <w:szCs w:val="28"/>
        </w:rPr>
      </w:pPr>
      <w:r>
        <w:rPr>
          <w:rFonts w:cs="Tw Cen MT"/>
          <w:b/>
          <w:bCs/>
          <w:color w:val="57585A"/>
          <w:sz w:val="28"/>
          <w:szCs w:val="28"/>
        </w:rPr>
        <w:t xml:space="preserve">Recommendation </w:t>
      </w:r>
    </w:p>
    <w:p w:rsidR="004F706D" w:rsidRDefault="004F706D" w:rsidP="004F706D">
      <w:pPr>
        <w:rPr>
          <w:rFonts w:cs="Tw Cen MT"/>
          <w:color w:val="57585A"/>
          <w:sz w:val="20"/>
          <w:szCs w:val="20"/>
        </w:rPr>
      </w:pPr>
      <w:r>
        <w:rPr>
          <w:rFonts w:cs="Tw Cen MT"/>
          <w:color w:val="57585A"/>
          <w:sz w:val="20"/>
          <w:szCs w:val="20"/>
        </w:rPr>
        <w:t>Create zones for use of this incentive, which offers a tiered-system waiving property taxes up to 80 percent for 10 years based on the number of floors of residential housing built above commercial use. Exemption could be linked to AMI, and second homes could be disallowed.</w:t>
      </w:r>
    </w:p>
    <w:p w:rsidR="004F706D" w:rsidRDefault="004F706D" w:rsidP="004F706D">
      <w:pPr>
        <w:rPr>
          <w:rFonts w:cs="Tw Cen MT"/>
          <w:color w:val="57585A"/>
          <w:sz w:val="20"/>
          <w:szCs w:val="20"/>
        </w:rPr>
      </w:pPr>
    </w:p>
    <w:p w:rsidR="004F706D" w:rsidRPr="004F706D" w:rsidRDefault="004F706D" w:rsidP="004F706D">
      <w:pPr>
        <w:pStyle w:val="Pa1"/>
        <w:rPr>
          <w:rFonts w:cs="Tw Cen MT"/>
          <w:color w:val="E05E2A"/>
          <w:sz w:val="36"/>
          <w:szCs w:val="36"/>
        </w:rPr>
      </w:pPr>
      <w:r w:rsidRPr="004F706D">
        <w:rPr>
          <w:rFonts w:cs="Tw Cen MT"/>
          <w:b/>
          <w:bCs/>
          <w:color w:val="E05E2A"/>
          <w:sz w:val="36"/>
          <w:szCs w:val="36"/>
        </w:rPr>
        <w:t xml:space="preserve">TOOL 8: New urban renewal areas </w:t>
      </w:r>
    </w:p>
    <w:p w:rsidR="004F706D" w:rsidRDefault="004F706D" w:rsidP="004F706D">
      <w:pPr>
        <w:pStyle w:val="Pa5"/>
        <w:spacing w:before="80" w:after="80"/>
        <w:rPr>
          <w:rFonts w:cs="Tw Cen MT"/>
          <w:color w:val="57585A"/>
          <w:sz w:val="28"/>
          <w:szCs w:val="28"/>
        </w:rPr>
      </w:pPr>
      <w:r>
        <w:rPr>
          <w:rFonts w:cs="Tw Cen MT"/>
          <w:b/>
          <w:bCs/>
          <w:color w:val="57585A"/>
          <w:sz w:val="28"/>
          <w:szCs w:val="28"/>
        </w:rPr>
        <w:t xml:space="preserve">Recommendation </w:t>
      </w:r>
    </w:p>
    <w:p w:rsidR="004F706D" w:rsidRDefault="004F706D" w:rsidP="004F706D">
      <w:pPr>
        <w:rPr>
          <w:rFonts w:cs="Tw Cen MT"/>
          <w:color w:val="57585A"/>
          <w:sz w:val="20"/>
          <w:szCs w:val="20"/>
        </w:rPr>
      </w:pPr>
      <w:r>
        <w:rPr>
          <w:rFonts w:cs="Tw Cen MT"/>
          <w:color w:val="57585A"/>
          <w:sz w:val="20"/>
          <w:szCs w:val="20"/>
        </w:rPr>
        <w:t xml:space="preserve">Conduct a study to test the feasibility of additional urban renewal areas in the Central Business District and </w:t>
      </w:r>
      <w:proofErr w:type="spellStart"/>
      <w:r>
        <w:rPr>
          <w:rFonts w:cs="Tw Cen MT"/>
          <w:color w:val="57585A"/>
          <w:sz w:val="20"/>
          <w:szCs w:val="20"/>
        </w:rPr>
        <w:t>Korpine</w:t>
      </w:r>
      <w:proofErr w:type="spellEnd"/>
      <w:r>
        <w:rPr>
          <w:rFonts w:cs="Tw Cen MT"/>
          <w:color w:val="57585A"/>
          <w:sz w:val="20"/>
          <w:szCs w:val="20"/>
        </w:rPr>
        <w:t>, with particular focus on 1) whether the City can accommodate the short-term foregone revenue, and, 2) what types of projects would most effectively increase housing supply.</w:t>
      </w:r>
    </w:p>
    <w:p w:rsidR="004F706D" w:rsidRDefault="004F706D" w:rsidP="004F706D">
      <w:pPr>
        <w:rPr>
          <w:rFonts w:cs="Tw Cen MT"/>
          <w:color w:val="57585A"/>
          <w:sz w:val="20"/>
          <w:szCs w:val="20"/>
        </w:rPr>
      </w:pPr>
    </w:p>
    <w:p w:rsidR="004F706D" w:rsidRPr="004F706D" w:rsidRDefault="00F02CDE" w:rsidP="004F706D">
      <w:pPr>
        <w:pStyle w:val="Pa1"/>
        <w:rPr>
          <w:rFonts w:cs="Tw Cen MT"/>
          <w:color w:val="E05E2A"/>
          <w:sz w:val="36"/>
          <w:szCs w:val="36"/>
        </w:rPr>
      </w:pPr>
      <w:r>
        <w:rPr>
          <w:rFonts w:cs="Tw Cen MT"/>
          <w:b/>
          <w:bCs/>
          <w:color w:val="E05E2A"/>
          <w:sz w:val="36"/>
          <w:szCs w:val="36"/>
        </w:rPr>
        <w:t>T</w:t>
      </w:r>
      <w:r w:rsidR="00205F2B">
        <w:rPr>
          <w:rFonts w:cs="Tw Cen MT"/>
          <w:b/>
          <w:bCs/>
          <w:color w:val="E05E2A"/>
          <w:sz w:val="36"/>
          <w:szCs w:val="36"/>
        </w:rPr>
        <w:t>OOL</w:t>
      </w:r>
      <w:r w:rsidR="004F706D" w:rsidRPr="004F706D">
        <w:rPr>
          <w:rFonts w:cs="Tw Cen MT"/>
          <w:b/>
          <w:bCs/>
          <w:color w:val="E05E2A"/>
          <w:sz w:val="36"/>
          <w:szCs w:val="36"/>
        </w:rPr>
        <w:t xml:space="preserve"> 9: Calculate density differently </w:t>
      </w:r>
    </w:p>
    <w:p w:rsidR="004F706D" w:rsidRDefault="004F706D" w:rsidP="004F706D">
      <w:pPr>
        <w:pStyle w:val="Pa5"/>
        <w:spacing w:before="80" w:after="80"/>
        <w:rPr>
          <w:rFonts w:cs="Tw Cen MT"/>
          <w:color w:val="57585A"/>
          <w:sz w:val="28"/>
          <w:szCs w:val="28"/>
        </w:rPr>
      </w:pPr>
      <w:r>
        <w:rPr>
          <w:rFonts w:cs="Tw Cen MT"/>
          <w:b/>
          <w:bCs/>
          <w:color w:val="57585A"/>
          <w:sz w:val="28"/>
          <w:szCs w:val="28"/>
        </w:rPr>
        <w:t xml:space="preserve">Recommendation </w:t>
      </w:r>
    </w:p>
    <w:p w:rsidR="004F706D" w:rsidRDefault="004F706D" w:rsidP="004F706D">
      <w:pPr>
        <w:rPr>
          <w:rFonts w:cs="Tw Cen MT"/>
          <w:color w:val="57585A"/>
          <w:sz w:val="20"/>
          <w:szCs w:val="20"/>
        </w:rPr>
      </w:pPr>
      <w:r>
        <w:rPr>
          <w:rFonts w:cs="Tw Cen MT"/>
          <w:color w:val="57585A"/>
          <w:sz w:val="20"/>
          <w:szCs w:val="20"/>
        </w:rPr>
        <w:t>Currently density is measured lot by lot, rather than an average density in a zone. This discourages infill of missing middle housing types that could be built if more flexibility existed in how density was measured. By calculating density by a radius additional units could be built and the average number of homes in a particular zone maintained.</w:t>
      </w:r>
    </w:p>
    <w:p w:rsidR="004F706D" w:rsidRDefault="004F706D" w:rsidP="004F706D">
      <w:pPr>
        <w:rPr>
          <w:rFonts w:cs="Tw Cen MT"/>
          <w:color w:val="57585A"/>
          <w:sz w:val="20"/>
          <w:szCs w:val="20"/>
        </w:rPr>
      </w:pPr>
    </w:p>
    <w:p w:rsidR="004F706D" w:rsidRPr="00F02CDE" w:rsidRDefault="004F706D" w:rsidP="004F706D">
      <w:pPr>
        <w:pStyle w:val="Pa1"/>
        <w:rPr>
          <w:rFonts w:cs="Tw Cen MT"/>
          <w:color w:val="E05E2A"/>
          <w:sz w:val="36"/>
          <w:szCs w:val="36"/>
        </w:rPr>
      </w:pPr>
      <w:r w:rsidRPr="00F02CDE">
        <w:rPr>
          <w:rFonts w:cs="Tw Cen MT"/>
          <w:b/>
          <w:bCs/>
          <w:color w:val="E05E2A"/>
          <w:sz w:val="36"/>
          <w:szCs w:val="36"/>
        </w:rPr>
        <w:t xml:space="preserve">TOOL 10: Allow </w:t>
      </w:r>
      <w:proofErr w:type="spellStart"/>
      <w:r w:rsidRPr="00F02CDE">
        <w:rPr>
          <w:rFonts w:cs="Tw Cen MT"/>
          <w:b/>
          <w:bCs/>
          <w:color w:val="E05E2A"/>
          <w:sz w:val="36"/>
          <w:szCs w:val="36"/>
        </w:rPr>
        <w:t>fourplexes</w:t>
      </w:r>
      <w:proofErr w:type="spellEnd"/>
      <w:r w:rsidRPr="00F02CDE">
        <w:rPr>
          <w:rFonts w:cs="Tw Cen MT"/>
          <w:b/>
          <w:bCs/>
          <w:color w:val="E05E2A"/>
          <w:sz w:val="36"/>
          <w:szCs w:val="36"/>
        </w:rPr>
        <w:t xml:space="preserve"> in the standard residential zone </w:t>
      </w:r>
    </w:p>
    <w:p w:rsidR="004F706D" w:rsidRDefault="004F706D" w:rsidP="004F706D">
      <w:pPr>
        <w:pStyle w:val="Pa5"/>
        <w:spacing w:before="80" w:after="80"/>
        <w:rPr>
          <w:rFonts w:cs="Tw Cen MT"/>
          <w:color w:val="57585A"/>
          <w:sz w:val="28"/>
          <w:szCs w:val="28"/>
        </w:rPr>
      </w:pPr>
      <w:r>
        <w:rPr>
          <w:rFonts w:cs="Tw Cen MT"/>
          <w:b/>
          <w:bCs/>
          <w:color w:val="57585A"/>
          <w:sz w:val="28"/>
          <w:szCs w:val="28"/>
        </w:rPr>
        <w:t xml:space="preserve">Recommendation </w:t>
      </w:r>
    </w:p>
    <w:p w:rsidR="004F706D" w:rsidRDefault="004F706D" w:rsidP="004F706D">
      <w:pPr>
        <w:rPr>
          <w:rFonts w:cs="Tw Cen MT"/>
          <w:color w:val="57585A"/>
          <w:sz w:val="20"/>
          <w:szCs w:val="20"/>
        </w:rPr>
      </w:pPr>
      <w:r>
        <w:rPr>
          <w:rFonts w:cs="Tw Cen MT"/>
          <w:color w:val="57585A"/>
        </w:rPr>
        <w:t>Currently these units are not allowed in the standard residential (RS) zone. But floor area ratios and other tools could be used to keep scale appropriate to the neighborhood and it would increase supply without significantly changing the look and feel of a residential neighborhood.</w:t>
      </w:r>
    </w:p>
    <w:p w:rsidR="004F706D" w:rsidRDefault="004F706D" w:rsidP="004F706D">
      <w:pPr>
        <w:rPr>
          <w:rFonts w:cs="Tw Cen MT"/>
          <w:color w:val="57585A"/>
          <w:sz w:val="20"/>
          <w:szCs w:val="20"/>
        </w:rPr>
      </w:pPr>
    </w:p>
    <w:p w:rsidR="00F02CDE" w:rsidRPr="00F02CDE" w:rsidRDefault="00F02CDE" w:rsidP="00F02CDE">
      <w:pPr>
        <w:pStyle w:val="Pa1"/>
        <w:rPr>
          <w:rFonts w:cs="Tw Cen MT"/>
          <w:color w:val="E05E2A"/>
          <w:sz w:val="36"/>
          <w:szCs w:val="36"/>
        </w:rPr>
      </w:pPr>
      <w:r w:rsidRPr="00F02CDE">
        <w:rPr>
          <w:rFonts w:cs="Tw Cen MT"/>
          <w:b/>
          <w:bCs/>
          <w:color w:val="E05E2A"/>
          <w:sz w:val="36"/>
          <w:szCs w:val="36"/>
        </w:rPr>
        <w:t>T</w:t>
      </w:r>
      <w:r w:rsidR="00205F2B">
        <w:rPr>
          <w:rFonts w:cs="Tw Cen MT"/>
          <w:b/>
          <w:bCs/>
          <w:color w:val="E05E2A"/>
          <w:sz w:val="36"/>
          <w:szCs w:val="36"/>
        </w:rPr>
        <w:t>OOL</w:t>
      </w:r>
      <w:r w:rsidRPr="00F02CDE">
        <w:rPr>
          <w:rFonts w:cs="Tw Cen MT"/>
          <w:b/>
          <w:bCs/>
          <w:color w:val="E05E2A"/>
          <w:sz w:val="36"/>
          <w:szCs w:val="36"/>
        </w:rPr>
        <w:t xml:space="preserve"> 11: Link open space requirements to nearby parks </w:t>
      </w:r>
    </w:p>
    <w:p w:rsidR="00F02CDE" w:rsidRDefault="00F02CDE" w:rsidP="00F02CDE">
      <w:pPr>
        <w:pStyle w:val="Pa5"/>
        <w:spacing w:before="80" w:after="80"/>
        <w:rPr>
          <w:rFonts w:cs="Tw Cen MT"/>
          <w:color w:val="57585A"/>
          <w:sz w:val="28"/>
          <w:szCs w:val="28"/>
        </w:rPr>
      </w:pPr>
      <w:r>
        <w:rPr>
          <w:rFonts w:cs="Tw Cen MT"/>
          <w:b/>
          <w:bCs/>
          <w:color w:val="57585A"/>
          <w:sz w:val="28"/>
          <w:szCs w:val="28"/>
        </w:rPr>
        <w:t xml:space="preserve">Recommendation </w:t>
      </w:r>
    </w:p>
    <w:p w:rsidR="004F706D" w:rsidRDefault="00F02CDE" w:rsidP="004F706D">
      <w:pPr>
        <w:rPr>
          <w:rFonts w:cs="Tw Cen MT"/>
          <w:color w:val="57585A"/>
          <w:sz w:val="20"/>
          <w:szCs w:val="20"/>
        </w:rPr>
      </w:pPr>
      <w:r>
        <w:rPr>
          <w:rFonts w:cs="Tw Cen MT"/>
          <w:color w:val="57585A"/>
        </w:rPr>
        <w:t>Reduce open space requirements when there is nearby access to parks and trails. This incentive could be linked to Area Medium Incomes of less than 125 percent or multifamily developments.</w:t>
      </w:r>
    </w:p>
    <w:p w:rsidR="00F02CDE" w:rsidRDefault="00F02CDE" w:rsidP="004F706D">
      <w:pPr>
        <w:rPr>
          <w:rFonts w:cs="Tw Cen MT"/>
          <w:color w:val="57585A"/>
          <w:sz w:val="20"/>
          <w:szCs w:val="20"/>
        </w:rPr>
      </w:pPr>
    </w:p>
    <w:p w:rsidR="00F02CDE" w:rsidRPr="00F02CDE" w:rsidRDefault="00F02CDE" w:rsidP="00F02CDE">
      <w:pPr>
        <w:pStyle w:val="Pa1"/>
        <w:rPr>
          <w:rFonts w:cs="Tw Cen MT"/>
          <w:color w:val="E05E2A"/>
          <w:sz w:val="36"/>
          <w:szCs w:val="36"/>
        </w:rPr>
      </w:pPr>
      <w:r w:rsidRPr="00F02CDE">
        <w:rPr>
          <w:rFonts w:cs="Tw Cen MT"/>
          <w:b/>
          <w:bCs/>
          <w:color w:val="E05E2A"/>
          <w:sz w:val="36"/>
          <w:szCs w:val="36"/>
        </w:rPr>
        <w:t>T</w:t>
      </w:r>
      <w:r w:rsidR="00205F2B">
        <w:rPr>
          <w:rFonts w:cs="Tw Cen MT"/>
          <w:b/>
          <w:bCs/>
          <w:color w:val="E05E2A"/>
          <w:sz w:val="36"/>
          <w:szCs w:val="36"/>
        </w:rPr>
        <w:t>OOL</w:t>
      </w:r>
      <w:r w:rsidRPr="00F02CDE">
        <w:rPr>
          <w:rFonts w:cs="Tw Cen MT"/>
          <w:b/>
          <w:bCs/>
          <w:color w:val="E05E2A"/>
          <w:sz w:val="36"/>
          <w:szCs w:val="36"/>
        </w:rPr>
        <w:t xml:space="preserve"> 12: Increase allowable lot coverage for multifamily housing </w:t>
      </w:r>
    </w:p>
    <w:p w:rsidR="00F02CDE" w:rsidRDefault="00F02CDE" w:rsidP="00F02CDE">
      <w:pPr>
        <w:pStyle w:val="Pa5"/>
        <w:spacing w:before="80" w:after="80"/>
        <w:rPr>
          <w:rFonts w:cs="Tw Cen MT"/>
          <w:color w:val="57585A"/>
          <w:sz w:val="28"/>
          <w:szCs w:val="28"/>
        </w:rPr>
      </w:pPr>
      <w:r>
        <w:rPr>
          <w:rFonts w:cs="Tw Cen MT"/>
          <w:b/>
          <w:bCs/>
          <w:color w:val="57585A"/>
          <w:sz w:val="28"/>
          <w:szCs w:val="28"/>
        </w:rPr>
        <w:t xml:space="preserve">Recommendation </w:t>
      </w:r>
    </w:p>
    <w:p w:rsidR="00F02CDE" w:rsidRDefault="00F02CDE" w:rsidP="00F02CDE">
      <w:pPr>
        <w:rPr>
          <w:rFonts w:cs="Tw Cen MT"/>
          <w:color w:val="57585A"/>
        </w:rPr>
      </w:pPr>
      <w:r>
        <w:rPr>
          <w:rFonts w:cs="Tw Cen MT"/>
          <w:color w:val="57585A"/>
        </w:rPr>
        <w:t>The City is currently considering increasing allowable lot coverage from 40 to 50 percent for multifamily units. Increasing this further to 60 percent will help increase supply and affordability.</w:t>
      </w:r>
    </w:p>
    <w:p w:rsidR="00C27192" w:rsidRDefault="00C27192" w:rsidP="00F02CDE">
      <w:pPr>
        <w:rPr>
          <w:rFonts w:cs="Tw Cen MT"/>
          <w:color w:val="57585A"/>
        </w:rPr>
      </w:pPr>
    </w:p>
    <w:p w:rsidR="00C27192" w:rsidRDefault="00C27192" w:rsidP="00F02CDE">
      <w:pPr>
        <w:rPr>
          <w:rFonts w:cs="Tw Cen MT"/>
          <w:color w:val="57585A"/>
        </w:rPr>
      </w:pPr>
    </w:p>
    <w:p w:rsidR="00C27192" w:rsidRDefault="00C27192" w:rsidP="00F02CDE">
      <w:pPr>
        <w:rPr>
          <w:rFonts w:cs="Tw Cen MT"/>
          <w:color w:val="57585A"/>
        </w:rPr>
      </w:pPr>
    </w:p>
    <w:p w:rsidR="00C27192" w:rsidRDefault="00C27192" w:rsidP="00F02CDE">
      <w:pPr>
        <w:rPr>
          <w:rFonts w:cs="Tw Cen MT"/>
          <w:color w:val="57585A"/>
        </w:rPr>
      </w:pPr>
    </w:p>
    <w:p w:rsidR="00C27192" w:rsidRDefault="00C27192" w:rsidP="00F02CDE">
      <w:pPr>
        <w:rPr>
          <w:rFonts w:cs="Tw Cen MT"/>
          <w:color w:val="57585A"/>
          <w:sz w:val="20"/>
          <w:szCs w:val="20"/>
        </w:rPr>
      </w:pPr>
      <w:bookmarkStart w:id="0" w:name="_GoBack"/>
      <w:bookmarkEnd w:id="0"/>
      <w:r>
        <w:rPr>
          <w:rFonts w:cs="Tw Cen MT"/>
          <w:color w:val="57585A"/>
        </w:rPr>
        <w:t>(Copied and pasted tool description and recommendation in order to create a one page document.  See report (Bend Collaborative Housing Workgroup – Middle Market Housing Policy Recommendations, July 2017) for all full narrative.)</w:t>
      </w:r>
    </w:p>
    <w:p w:rsidR="004F706D" w:rsidRDefault="004F706D" w:rsidP="004F706D">
      <w:pPr>
        <w:rPr>
          <w:rFonts w:cs="Tw Cen MT"/>
          <w:color w:val="57585A"/>
          <w:sz w:val="20"/>
          <w:szCs w:val="20"/>
        </w:rPr>
      </w:pPr>
    </w:p>
    <w:p w:rsidR="004F706D" w:rsidRDefault="004F706D" w:rsidP="004F706D">
      <w:pPr>
        <w:rPr>
          <w:rFonts w:cs="Tw Cen MT"/>
          <w:color w:val="57585A"/>
          <w:sz w:val="20"/>
          <w:szCs w:val="20"/>
        </w:rPr>
      </w:pPr>
    </w:p>
    <w:p w:rsidR="004F706D" w:rsidRDefault="004F706D" w:rsidP="004F706D">
      <w:pPr>
        <w:rPr>
          <w:rFonts w:cs="Tw Cen MT"/>
          <w:color w:val="57585A"/>
          <w:sz w:val="20"/>
          <w:szCs w:val="20"/>
        </w:rPr>
      </w:pPr>
    </w:p>
    <w:p w:rsidR="004F706D" w:rsidRPr="00D61D3A" w:rsidRDefault="004F706D" w:rsidP="004F706D">
      <w:pPr>
        <w:rPr>
          <w:rFonts w:ascii="Arial" w:hAnsi="Arial" w:cs="Arial"/>
          <w:sz w:val="24"/>
          <w:szCs w:val="24"/>
        </w:rPr>
      </w:pPr>
    </w:p>
    <w:sectPr w:rsidR="004F706D" w:rsidRPr="00D61D3A" w:rsidSect="004F70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6D"/>
    <w:rsid w:val="00205F2B"/>
    <w:rsid w:val="004F706D"/>
    <w:rsid w:val="00C27192"/>
    <w:rsid w:val="00D61D3A"/>
    <w:rsid w:val="00F0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FA5CE-A990-4020-A224-6AE46BDE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4F706D"/>
    <w:pPr>
      <w:autoSpaceDE w:val="0"/>
      <w:autoSpaceDN w:val="0"/>
      <w:adjustRightInd w:val="0"/>
      <w:spacing w:line="479" w:lineRule="atLeast"/>
    </w:pPr>
    <w:rPr>
      <w:rFonts w:ascii="Tw Cen MT" w:hAnsi="Tw Cen MT"/>
      <w:sz w:val="24"/>
      <w:szCs w:val="24"/>
    </w:rPr>
  </w:style>
  <w:style w:type="paragraph" w:customStyle="1" w:styleId="Pa5">
    <w:name w:val="Pa5"/>
    <w:basedOn w:val="Normal"/>
    <w:next w:val="Normal"/>
    <w:uiPriority w:val="99"/>
    <w:rsid w:val="004F706D"/>
    <w:pPr>
      <w:autoSpaceDE w:val="0"/>
      <w:autoSpaceDN w:val="0"/>
      <w:adjustRightInd w:val="0"/>
      <w:spacing w:line="280" w:lineRule="atLeast"/>
    </w:pPr>
    <w:rPr>
      <w:rFonts w:ascii="Tw Cen MT" w:hAnsi="Tw Cen MT"/>
      <w:sz w:val="24"/>
      <w:szCs w:val="24"/>
    </w:rPr>
  </w:style>
  <w:style w:type="paragraph" w:customStyle="1" w:styleId="Pa13">
    <w:name w:val="Pa13"/>
    <w:basedOn w:val="Normal"/>
    <w:next w:val="Normal"/>
    <w:uiPriority w:val="99"/>
    <w:rsid w:val="004F706D"/>
    <w:pPr>
      <w:autoSpaceDE w:val="0"/>
      <w:autoSpaceDN w:val="0"/>
      <w:adjustRightInd w:val="0"/>
      <w:spacing w:line="200" w:lineRule="atLeast"/>
    </w:pPr>
    <w:rPr>
      <w:rFonts w:ascii="Tw Cen MT" w:hAnsi="Tw Cen MT"/>
      <w:sz w:val="24"/>
      <w:szCs w:val="24"/>
    </w:rPr>
  </w:style>
  <w:style w:type="paragraph" w:customStyle="1" w:styleId="Pa17">
    <w:name w:val="Pa17"/>
    <w:basedOn w:val="Normal"/>
    <w:next w:val="Normal"/>
    <w:uiPriority w:val="99"/>
    <w:rsid w:val="004F706D"/>
    <w:pPr>
      <w:autoSpaceDE w:val="0"/>
      <w:autoSpaceDN w:val="0"/>
      <w:adjustRightInd w:val="0"/>
      <w:spacing w:line="200" w:lineRule="atLeast"/>
    </w:pPr>
    <w:rPr>
      <w:rFonts w:ascii="Tw Cen MT" w:hAnsi="Tw Cen MT"/>
      <w:sz w:val="24"/>
      <w:szCs w:val="24"/>
    </w:rPr>
  </w:style>
  <w:style w:type="character" w:customStyle="1" w:styleId="A8">
    <w:name w:val="A8"/>
    <w:uiPriority w:val="99"/>
    <w:rsid w:val="004F706D"/>
    <w:rPr>
      <w:rFonts w:cs="Tw Cen MT"/>
      <w:color w:val="57585A"/>
      <w:sz w:val="20"/>
      <w:szCs w:val="20"/>
    </w:rPr>
  </w:style>
  <w:style w:type="paragraph" w:customStyle="1" w:styleId="Default">
    <w:name w:val="Default"/>
    <w:rsid w:val="00F02CDE"/>
    <w:pPr>
      <w:autoSpaceDE w:val="0"/>
      <w:autoSpaceDN w:val="0"/>
      <w:adjustRightInd w:val="0"/>
      <w:spacing w:line="240" w:lineRule="auto"/>
    </w:pPr>
    <w:rPr>
      <w:rFonts w:ascii="Tw Cen MT" w:hAnsi="Tw Cen MT" w:cs="Tw Cen MT"/>
      <w:color w:val="000000"/>
      <w:sz w:val="24"/>
      <w:szCs w:val="24"/>
    </w:rPr>
  </w:style>
  <w:style w:type="character" w:customStyle="1" w:styleId="A3">
    <w:name w:val="A3"/>
    <w:uiPriority w:val="99"/>
    <w:rsid w:val="00F02CDE"/>
    <w:rPr>
      <w:rFonts w:cs="Tw Cen MT"/>
      <w:b/>
      <w:bCs/>
      <w:color w:val="E05E2A"/>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Bend</Company>
  <LinksUpToDate>false</LinksUpToDate>
  <CharactersWithSpaces>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Montgomery</dc:creator>
  <cp:keywords/>
  <dc:description/>
  <cp:lastModifiedBy>Katherine Montgomery</cp:lastModifiedBy>
  <cp:revision>3</cp:revision>
  <dcterms:created xsi:type="dcterms:W3CDTF">2017-08-08T19:27:00Z</dcterms:created>
  <dcterms:modified xsi:type="dcterms:W3CDTF">2017-08-08T19:39:00Z</dcterms:modified>
</cp:coreProperties>
</file>